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竞争性磋商文件</w:t>
      </w:r>
      <w:r/>
    </w:p>
    <w:p>
      <w:pPr>
        <w:jc w:val="center"/>
        <w:spacing w:before="120" w:after="120" w:line="360" w:lineRule="auto"/>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rPr>
        <w:t xml:space="preserve">     项目名称：</w:t>
      </w:r>
      <w:r>
        <w:rPr>
          <w:rFonts w:hint="eastAsia" w:ascii="Arial" w:hAnsi="Arial"/>
          <w:b/>
          <w:bCs/>
          <w:color w:val="000000" w:themeColor="text1"/>
          <w:sz w:val="32"/>
          <w:szCs w:val="24"/>
          <w:lang w:eastAsia="zh-CN"/>
        </w:rPr>
        <w:t xml:space="preserve">江苏省曲塘高级中学学生公寓家具采购及安装项目</w:t>
      </w:r>
      <w:r/>
    </w:p>
    <w:p>
      <w:pPr>
        <w:ind w:firstLine="803"/>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项目编号：JSZC-320685-JDGS-C2026-0027</w:t>
      </w:r>
      <w:r/>
    </w:p>
    <w:p>
      <w:pPr>
        <w:ind w:firstLine="1470"/>
        <w:jc w:val="left"/>
        <w:spacing w:before="120" w:after="120" w:line="360" w:lineRule="auto"/>
        <w:rPr>
          <w:b/>
          <w:color w:val="000000" w:themeColor="text1"/>
          <w:sz w:val="30"/>
          <w:szCs w:val="30"/>
        </w:rPr>
      </w:pPr>
      <w:r>
        <w:rPr>
          <w:b/>
          <w:color w:val="000000" w:themeColor="text1"/>
          <w:sz w:val="30"/>
          <w:szCs w:val="30"/>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hint="eastAsia" w:ascii="Arial" w:hAnsi="Arial" w:eastAsia="宋体"/>
          <w:b/>
          <w:bCs/>
          <w:color w:val="000000" w:themeColor="text1"/>
          <w:sz w:val="32"/>
          <w:szCs w:val="24"/>
          <w:lang w:eastAsia="zh-CN"/>
        </w:rPr>
      </w:pPr>
      <w:r>
        <w:rPr>
          <w:rFonts w:hint="eastAsia" w:ascii="Arial" w:hAnsi="Arial"/>
          <w:b/>
          <w:bCs/>
          <w:color w:val="000000" w:themeColor="text1"/>
          <w:sz w:val="32"/>
          <w:szCs w:val="24"/>
          <w:lang w:eastAsia="zh-CN"/>
        </w:rPr>
        <w:t xml:space="preserve">江苏省曲塘高级中学</w:t>
      </w:r>
      <w:r/>
    </w:p>
    <w:p>
      <w:pPr>
        <w:jc w:val="center"/>
        <w:spacing w:before="120" w:after="120" w:line="360" w:lineRule="auto"/>
        <w:rPr>
          <w:rFonts w:ascii="Arial" w:hAnsi="Arial"/>
          <w:color w:val="000000" w:themeColor="text1"/>
          <w:sz w:val="24"/>
          <w:szCs w:val="24"/>
          <w:u w:val="single"/>
        </w:rPr>
      </w:pPr>
      <w:r>
        <w:rPr>
          <w:rFonts w:hint="eastAsia" w:ascii="Arial" w:hAnsi="Arial"/>
          <w:b/>
          <w:bCs/>
          <w:color w:val="000000" w:themeColor="text1"/>
          <w:sz w:val="32"/>
          <w:szCs w:val="24"/>
        </w:rPr>
        <w:t xml:space="preserve">2026年</w:t>
      </w:r>
      <w:r>
        <w:rPr>
          <w:rFonts w:hint="eastAsia" w:ascii="Arial" w:hAnsi="Arial"/>
          <w:b/>
          <w:bCs/>
          <w:color w:val="000000" w:themeColor="text1"/>
          <w:sz w:val="32"/>
          <w:szCs w:val="24"/>
          <w:lang w:val="en-US" w:eastAsia="zh-CN"/>
        </w:rPr>
        <w:t xml:space="preserve">05</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lang w:val="en-US" w:eastAsia="zh-CN"/>
        </w:rPr>
        <w:t xml:space="preserve">27</w:t>
      </w:r>
      <w:r>
        <w:rPr>
          <w:rFonts w:hint="eastAsia" w:ascii="Arial" w:hAnsi="Arial"/>
          <w:b/>
          <w:bCs/>
          <w:color w:val="000000" w:themeColor="text1"/>
          <w:sz w:val="32"/>
          <w:szCs w:val="24"/>
        </w:rPr>
        <w:t xml:space="preserve">日</w:t>
      </w:r>
      <w:r/>
    </w:p>
    <w:p>
      <w:pPr>
        <w:jc w:val="center"/>
        <w:spacing w:line="480" w:lineRule="auto"/>
        <w:rPr>
          <w:color w:val="000000" w:themeColor="text1"/>
          <w:szCs w:val="21"/>
        </w:rPr>
        <w:outlineLvl w:val="0"/>
      </w:pPr>
      <w:r>
        <w:rPr>
          <w:color w:val="000000" w:themeColor="text1"/>
          <w:szCs w:val="21"/>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
    </w:p>
    <w:p>
      <w:pPr>
        <w:jc w:val="center"/>
        <w:spacing w:line="480" w:lineRule="auto"/>
        <w:rPr>
          <w:rFonts w:ascii="黑体" w:hAnsi="Arial" w:eastAsia="黑体"/>
          <w:b/>
          <w:color w:val="000000" w:themeColor="text1"/>
          <w:sz w:val="44"/>
          <w:szCs w:val="21"/>
        </w:rPr>
        <w:outlineLvl w:val="0"/>
      </w:pPr>
      <w:r>
        <w:rPr>
          <w:rFonts w:hint="eastAsia" w:ascii="黑体" w:hAnsi="Arial" w:eastAsia="黑体"/>
          <w:b/>
          <w:color w:val="000000" w:themeColor="text1"/>
          <w:sz w:val="44"/>
          <w:szCs w:val="21"/>
        </w:rPr>
        <w:t xml:space="preserve">总  目  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4"/>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磋商邀请</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供应商须知</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评审方法与评审标准</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响应文件格式</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jc w:val="center"/>
        <w:keepNext/>
        <w:spacing w:line="560" w:lineRule="exact"/>
        <w:rPr>
          <w:rFonts w:ascii="黑体" w:eastAsia="黑体"/>
          <w:bCs/>
          <w:color w:val="000000" w:themeColor="text1"/>
          <w:sz w:val="44"/>
          <w:szCs w:val="44"/>
        </w:rPr>
        <w:outlineLvl w:val="0"/>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磋商邀请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lang w:eastAsia="zh-CN"/>
        </w:rPr>
        <w:t xml:space="preserve">江苏省曲塘高级中学</w:t>
      </w:r>
      <w:r>
        <w:rPr>
          <w:rFonts w:hint="eastAsia" w:ascii="宋体" w:hAnsi="宋体"/>
          <w:color w:val="000000" w:themeColor="text1"/>
          <w:sz w:val="24"/>
          <w:szCs w:val="24"/>
        </w:rPr>
        <w:t xml:space="preserve">的委托，江苏建达全过程工程咨询有限公司就</w:t>
      </w:r>
      <w:r>
        <w:rPr>
          <w:rFonts w:hint="eastAsia" w:ascii="宋体" w:hAnsi="宋体"/>
          <w:color w:val="000000" w:themeColor="text1"/>
          <w:sz w:val="24"/>
          <w:szCs w:val="24"/>
          <w:lang w:eastAsia="zh-CN"/>
        </w:rPr>
        <w:t xml:space="preserve">江苏省曲塘高级中学学生公寓家具采购及安装项目</w:t>
      </w:r>
      <w:r>
        <w:rPr>
          <w:rFonts w:hint="eastAsia" w:ascii="宋体" w:hAnsi="宋体"/>
          <w:color w:val="000000" w:themeColor="text1"/>
          <w:sz w:val="24"/>
          <w:szCs w:val="24"/>
        </w:rPr>
        <w:t xml:space="preserve">（项目编号：JSZC-320685-JDGS-C2026-0027</w:t>
      </w:r>
      <w:r>
        <w:rPr>
          <w:rFonts w:hint="eastAsia" w:ascii="宋体" w:hAnsi="宋体"/>
          <w:color w:val="000000" w:themeColor="text1"/>
          <w:sz w:val="24"/>
          <w:szCs w:val="24"/>
          <w:lang w:val="en-US" w:eastAsia="zh-CN"/>
        </w:rPr>
        <w:t xml:space="preserve"> </w:t>
      </w:r>
      <w:r>
        <w:rPr>
          <w:rFonts w:hint="eastAsia" w:ascii="宋体" w:hAnsi="宋体"/>
          <w:color w:val="000000" w:themeColor="text1"/>
          <w:sz w:val="24"/>
          <w:szCs w:val="24"/>
        </w:rPr>
        <w:t xml:space="preserve">）项目进行竞争性磋商采购，欢迎符合条件的供应商参加磋商。</w:t>
      </w:r>
      <w:r/>
    </w:p>
    <w:p>
      <w:pPr>
        <w:ind w:firstLine="480"/>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0"/>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lang w:eastAsia="zh-CN"/>
        </w:rPr>
        <w:t xml:space="preserve">江苏省曲塘高级中学学生公寓家具采购及安装项目</w:t>
      </w:r>
      <w:r>
        <w:rPr>
          <w:rFonts w:hint="eastAsia" w:ascii="宋体" w:hAnsi="宋体"/>
          <w:color w:val="000000" w:themeColor="text1"/>
          <w:sz w:val="24"/>
          <w:szCs w:val="24"/>
        </w:rPr>
        <w:t xml:space="preserve">竞争性磋商项目的潜在供应商可在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磋商文件，并于</w:t>
      </w:r>
      <w:r>
        <w:rPr>
          <w:rFonts w:ascii="宋体" w:hAnsi="宋体"/>
          <w:color w:val="000000" w:themeColor="text1"/>
          <w:sz w:val="24"/>
          <w:szCs w:val="24"/>
          <w:u w:val="single"/>
        </w:rPr>
        <w:t xml:space="preserve">202</w:t>
      </w:r>
      <w:r>
        <w:rPr>
          <w:rFonts w:hint="eastAsia" w:ascii="宋体" w:hAnsi="宋体"/>
          <w:color w:val="000000" w:themeColor="text1"/>
          <w:sz w:val="24"/>
          <w:szCs w:val="24"/>
          <w:u w:val="single"/>
        </w:rPr>
        <w:t xml:space="preserve">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06</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08</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lang w:val="en-US" w:eastAsia="zh-CN"/>
        </w:rPr>
        <w:t xml:space="preserve">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3</w:t>
      </w:r>
      <w:r>
        <w:rPr>
          <w:rFonts w:hint="eastAsia" w:ascii="宋体" w:hAnsi="宋体"/>
          <w:bCs/>
          <w:color w:val="000000" w:themeColor="text1"/>
          <w:sz w:val="24"/>
          <w:szCs w:val="24"/>
          <w:u w:val="single"/>
        </w:rPr>
        <w:t xml:space="preserve">0分（</w:t>
      </w:r>
      <w:r>
        <w:rPr>
          <w:rFonts w:hint="eastAsia" w:ascii="宋体" w:hAnsi="宋体"/>
          <w:bCs/>
          <w:color w:val="000000" w:themeColor="text1"/>
          <w:sz w:val="24"/>
          <w:szCs w:val="24"/>
        </w:rPr>
        <w:t xml:space="preserve">北京时间）前递交响应文件</w:t>
      </w:r>
      <w:r>
        <w:rPr>
          <w:rFonts w:hint="eastAsia" w:ascii="宋体" w:hAnsi="宋体"/>
          <w:color w:val="000000" w:themeColor="text1"/>
          <w:sz w:val="24"/>
          <w:szCs w:val="24"/>
        </w:rPr>
        <w:t xml:space="preserve">。</w:t>
      </w:r>
      <w:r/>
    </w:p>
    <w:p>
      <w:pPr>
        <w:ind w:firstLine="498"/>
        <w:keepLines/>
        <w:keepNext/>
        <w:spacing w:line="360" w:lineRule="auto"/>
        <w:rPr>
          <w:b/>
          <w:bCs/>
          <w:color w:val="000000" w:themeColor="text1"/>
          <w:sz w:val="32"/>
          <w:szCs w:val="32"/>
        </w:rPr>
        <w:outlineLvl w:val="2"/>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b/>
          <w:bCs/>
          <w:color w:val="000000" w:themeColor="text1"/>
          <w:sz w:val="32"/>
          <w:szCs w:val="32"/>
        </w:rPr>
        <w:t xml:space="preserve">一、项目基本情况</w:t>
      </w:r>
      <w:bookmarkEnd w:id="6"/>
      <w:r/>
      <w:bookmarkEnd w:id="7"/>
      <w:r/>
      <w:bookmarkEnd w:id="8"/>
      <w:r/>
      <w:bookmarkEnd w:id="9"/>
      <w:r/>
      <w:bookmarkEnd w:id="10"/>
      <w:r/>
      <w:bookmarkEnd w:id="11"/>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1.项目编号：JSZC-320685-JDGS-C2026-0027</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lang w:eastAsia="zh-CN"/>
        </w:rPr>
        <w:t xml:space="preserve">江苏省曲塘高级中学学生公寓家具采购及安装项目</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3.项目类型：</w:t>
      </w:r>
      <w:r>
        <w:rPr>
          <w:rFonts w:hint="eastAsia" w:ascii="宋体" w:hAnsi="宋体"/>
          <w:color w:val="000000" w:themeColor="text1"/>
          <w:sz w:val="24"/>
          <w:szCs w:val="24"/>
          <w:lang w:val="en-US" w:eastAsia="zh-CN"/>
        </w:rPr>
        <w:t xml:space="preserve">货物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4.项目行业：工业</w:t>
      </w:r>
      <w:r/>
    </w:p>
    <w:p>
      <w:pPr>
        <w:ind w:firstLine="480"/>
        <w:spacing w:line="360" w:lineRule="auto"/>
        <w:rPr>
          <w:rFonts w:ascii="宋体" w:hAnsi="宋体"/>
          <w:color w:val="000000" w:themeColor="text1"/>
          <w:sz w:val="24"/>
          <w:szCs w:val="24"/>
        </w:rPr>
      </w:pPr>
      <w:r/>
      <w:bookmarkStart w:id="12" w:name="OLE_LINK10"/>
      <w:r/>
      <w:bookmarkStart w:id="13" w:name="OLE_LINK9"/>
      <w:r>
        <w:rPr>
          <w:rFonts w:hint="eastAsia" w:ascii="宋体" w:hAnsi="宋体"/>
          <w:color w:val="000000" w:themeColor="text1"/>
          <w:sz w:val="24"/>
          <w:szCs w:val="24"/>
          <w:lang w:val="en-US" w:eastAsia="zh-CN"/>
        </w:rPr>
        <w:t xml:space="preserve">5</w:t>
      </w:r>
      <w:r>
        <w:rPr>
          <w:rFonts w:hint="eastAsia" w:ascii="宋体" w:hAnsi="宋体"/>
          <w:color w:val="000000" w:themeColor="text1"/>
          <w:sz w:val="24"/>
          <w:szCs w:val="24"/>
        </w:rPr>
        <w:t xml:space="preserve">.最高限价：</w:t>
      </w:r>
      <w:r>
        <w:rPr>
          <w:rFonts w:hint="eastAsia" w:ascii="宋体" w:hAnsi="宋体"/>
          <w:color w:val="000000" w:themeColor="text1"/>
          <w:sz w:val="24"/>
          <w:szCs w:val="24"/>
          <w:lang w:val="en-US" w:eastAsia="zh-CN"/>
        </w:rPr>
        <w:t xml:space="preserve">225</w:t>
      </w:r>
      <w:r>
        <w:rPr>
          <w:rFonts w:hint="eastAsia" w:ascii="宋体" w:hAnsi="宋体"/>
          <w:color w:val="000000" w:themeColor="text1"/>
          <w:sz w:val="24"/>
          <w:szCs w:val="24"/>
        </w:rPr>
        <w:t xml:space="preserve">万元</w:t>
      </w:r>
      <w:r>
        <w:rPr>
          <w:rFonts w:ascii="宋体" w:hAnsi="宋体"/>
          <w:color w:val="000000" w:themeColor="text1"/>
          <w:sz w:val="24"/>
          <w:szCs w:val="24"/>
        </w:rPr>
        <w:t xml:space="preserve">，</w:t>
      </w:r>
      <w:r>
        <w:rPr>
          <w:rFonts w:hint="eastAsia" w:ascii="宋体" w:hAnsi="宋体"/>
          <w:color w:val="000000" w:themeColor="text1"/>
          <w:sz w:val="24"/>
          <w:szCs w:val="24"/>
        </w:rPr>
        <w:t xml:space="preserve">报价超过最高限价的将作为无效响应处理。</w:t>
      </w:r>
      <w:bookmarkEnd w:id="12"/>
      <w:r/>
      <w:bookmarkEnd w:id="13"/>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.采购需求：</w:t>
      </w:r>
      <w:bookmarkStart w:id="14" w:name="OLE_LINK3"/>
      <w:r/>
      <w:bookmarkStart w:id="15" w:name="OLE_LINK4"/>
      <w:r>
        <w:rPr>
          <w:rFonts w:hint="eastAsia" w:ascii="宋体" w:hAnsi="宋体"/>
          <w:color w:val="000000" w:themeColor="text1"/>
          <w:sz w:val="24"/>
          <w:szCs w:val="24"/>
        </w:rPr>
        <w:t xml:space="preserve">详细内容见本采购文件第三章，请仔细研究。</w:t>
      </w:r>
      <w:bookmarkEnd w:id="14"/>
      <w:r/>
      <w:bookmarkEnd w:id="15"/>
      <w:r/>
      <w:r/>
    </w:p>
    <w:p>
      <w:pPr>
        <w:ind w:firstLine="480"/>
        <w:spacing w:line="360" w:lineRule="auto"/>
        <w:rPr>
          <w:rFonts w:ascii="宋体" w:hAnsi="宋体"/>
          <w:color w:val="000000" w:themeColor="text1"/>
          <w:sz w:val="24"/>
          <w:szCs w:val="24"/>
          <w:u w:val="single"/>
        </w:rPr>
      </w:pPr>
      <w:r>
        <w:rPr>
          <w:rFonts w:hint="eastAsia" w:ascii="宋体" w:hAnsi="宋体"/>
          <w:color w:val="000000" w:themeColor="text1"/>
          <w:sz w:val="24"/>
          <w:szCs w:val="24"/>
          <w:lang w:val="en-US" w:eastAsia="zh-CN"/>
        </w:rPr>
        <w:t xml:space="preserve">7</w:t>
      </w:r>
      <w:r>
        <w:rPr>
          <w:rFonts w:hint="eastAsia" w:ascii="宋体" w:hAnsi="宋体"/>
          <w:color w:val="000000" w:themeColor="text1"/>
          <w:sz w:val="24"/>
          <w:szCs w:val="24"/>
        </w:rPr>
        <w:t xml:space="preserve">.合同履行期限：详见磋商文件。</w:t>
      </w:r>
      <w:r/>
    </w:p>
    <w:p>
      <w:pPr>
        <w:ind w:firstLine="498"/>
        <w:keepLines/>
        <w:keepNext/>
        <w:spacing w:line="360" w:lineRule="auto"/>
        <w:rPr>
          <w:b/>
          <w:bCs/>
          <w:color w:val="000000" w:themeColor="text1"/>
          <w:sz w:val="32"/>
          <w:szCs w:val="32"/>
        </w:rPr>
        <w:outlineLvl w:val="2"/>
      </w:pPr>
      <w:r/>
      <w:bookmarkStart w:id="16" w:name="_Toc35393622"/>
      <w:r/>
      <w:bookmarkStart w:id="17" w:name="_Toc28359003"/>
      <w:r/>
      <w:bookmarkStart w:id="18" w:name="_Toc35393791"/>
      <w:r/>
      <w:bookmarkStart w:id="19" w:name="_Toc28359080"/>
      <w:r/>
      <w:bookmarkStart w:id="20" w:name="_Toc38985264"/>
      <w:r>
        <w:rPr>
          <w:rFonts w:hint="eastAsia"/>
          <w:b/>
          <w:bCs/>
          <w:color w:val="000000" w:themeColor="text1"/>
          <w:sz w:val="32"/>
          <w:szCs w:val="32"/>
        </w:rPr>
        <w:t xml:space="preserve">二、申请人的资格要求：</w:t>
      </w:r>
      <w:bookmarkEnd w:id="16"/>
      <w:r/>
      <w:bookmarkEnd w:id="17"/>
      <w:r/>
      <w:bookmarkEnd w:id="18"/>
      <w:r/>
      <w:bookmarkEnd w:id="19"/>
      <w:r/>
      <w:bookmarkEnd w:id="20"/>
      <w:r/>
      <w:r/>
    </w:p>
    <w:p>
      <w:pPr>
        <w:ind w:firstLine="480"/>
        <w:spacing w:line="360" w:lineRule="auto"/>
        <w:rPr>
          <w:rFonts w:ascii="宋体" w:hAnsi="宋体"/>
          <w:color w:val="000000" w:themeColor="text1"/>
          <w:sz w:val="24"/>
          <w:szCs w:val="24"/>
        </w:rPr>
      </w:pPr>
      <w:r/>
      <w:bookmarkStart w:id="21" w:name="_Toc35393792"/>
      <w:r/>
      <w:bookmarkStart w:id="22" w:name="_Toc28359004"/>
      <w:r/>
      <w:bookmarkStart w:id="23" w:name="_Toc35393623"/>
      <w:r/>
      <w:bookmarkStart w:id="24" w:name="_Toc28359081"/>
      <w:r/>
      <w:bookmarkStart w:id="25" w:name="_Toc38985265"/>
      <w:r>
        <w:rPr>
          <w:rFonts w:hint="eastAsia" w:ascii="宋体" w:hAnsi="宋体"/>
          <w:color w:val="000000" w:themeColor="text1"/>
          <w:sz w:val="24"/>
          <w:szCs w:val="24"/>
        </w:rPr>
        <w:t xml:space="preserve">（一）通用资格要求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w:t>
      </w:r>
      <w:r/>
    </w:p>
    <w:p>
      <w:pPr>
        <w:ind w:firstLine="480"/>
        <w:spacing w:line="360" w:lineRule="auto"/>
        <w:rPr>
          <w:rFonts w:ascii="宋体" w:hAnsi="宋体"/>
          <w:color w:val="000000" w:themeColor="text1"/>
          <w:sz w:val="24"/>
          <w:szCs w:val="24"/>
        </w:rPr>
      </w:pPr>
      <w:r/>
      <w:bookmarkStart w:id="26" w:name="OLE_LINK8"/>
      <w:r/>
      <w:bookmarkStart w:id="27" w:name="OLE_LINK7"/>
      <w:r>
        <w:rPr>
          <w:rFonts w:hint="eastAsia" w:ascii="宋体" w:hAnsi="宋体"/>
          <w:color w:val="000000" w:themeColor="text1"/>
          <w:sz w:val="24"/>
          <w:szCs w:val="24"/>
        </w:rPr>
        <w:t xml:space="preserve">（1）</w:t>
      </w:r>
      <w:bookmarkEnd w:id="26"/>
      <w:r/>
      <w:bookmarkEnd w:id="27"/>
      <w:r>
        <w:rPr>
          <w:rFonts w:hint="eastAsia" w:ascii="宋体" w:hAnsi="宋体"/>
          <w:color w:val="000000" w:themeColor="text1"/>
          <w:sz w:val="24"/>
          <w:szCs w:val="24"/>
        </w:rPr>
        <w:t xml:space="preserve">法人或者其他组织的营业执照等证明文件，自然人的身份证明；（提供营业执照复印件）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（2）上一年度的财务状况报告（成立不满一年不需提供）；</w:t>
      </w:r>
      <w:bookmarkStart w:id="28" w:name="OLE_LINK18"/>
      <w:r>
        <w:rPr>
          <w:rFonts w:hint="eastAsia" w:ascii="宋体" w:hAnsi="宋体"/>
          <w:color w:val="000000" w:themeColor="text1"/>
          <w:sz w:val="24"/>
          <w:szCs w:val="24"/>
        </w:rPr>
        <w:t xml:space="preserve">(提供参加本次开标前的会计报表，必须含资产负债表、利润表等证明材料)；</w:t>
      </w:r>
      <w:bookmarkEnd w:id="2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（3）依法缴纳税收和社会保障资金的相关材料（</w:t>
      </w:r>
      <w:bookmarkStart w:id="29" w:name="OLE_LINK19"/>
      <w:r>
        <w:rPr>
          <w:rFonts w:hint="eastAsia" w:ascii="宋体" w:hAnsi="宋体"/>
          <w:color w:val="000000" w:themeColor="text1"/>
          <w:sz w:val="24"/>
          <w:szCs w:val="24"/>
        </w:rPr>
        <w:t xml:space="preserve">提供提交响应文件截止时间前一年内至少一个月依法缴纳税收及缴纳社会保障资金的证明材料。供应商依法享受缓缴、免缴税收、社会保障资金的提供证明材料</w:t>
      </w:r>
      <w:bookmarkEnd w:id="29"/>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（4）具备履行合同所必需的设备和专业技术能力的证明材料；（</w:t>
      </w:r>
      <w:bookmarkStart w:id="30" w:name="OLE_LINK20"/>
      <w:r/>
      <w:bookmarkStart w:id="31" w:name="OLE_LINK21"/>
      <w:r>
        <w:rPr>
          <w:rFonts w:hint="eastAsia" w:ascii="宋体" w:hAnsi="宋体"/>
          <w:color w:val="000000" w:themeColor="text1"/>
          <w:sz w:val="24"/>
          <w:szCs w:val="24"/>
        </w:rPr>
        <w:t xml:space="preserve">格式见附件</w:t>
      </w:r>
      <w:bookmarkEnd w:id="30"/>
      <w:r/>
      <w:bookmarkEnd w:id="31"/>
      <w:r>
        <w:rPr>
          <w:rFonts w:hint="eastAsia" w:ascii="宋体" w:hAnsi="宋体"/>
          <w:color w:val="000000" w:themeColor="text1"/>
          <w:sz w:val="24"/>
          <w:szCs w:val="24"/>
        </w:rPr>
        <w:t xml:space="preserve">）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（5）参加政府采购活动前3年内在经营活动中没有重大违法记录的书面声明；（格式见附件）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bookmarkStart w:id="32" w:name="OLE_LINK22"/>
      <w:r>
        <w:rPr>
          <w:rFonts w:hint="eastAsia" w:ascii="宋体" w:hAnsi="宋体"/>
          <w:color w:val="000000" w:themeColor="text1"/>
          <w:sz w:val="24"/>
          <w:szCs w:val="24"/>
        </w:rPr>
        <w:t xml:space="preserve">法律、行政法规规定的其他条件</w:t>
      </w:r>
      <w:bookmarkEnd w:id="32"/>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bookmarkStart w:id="33" w:name="OLE_LINK15"/>
      <w:r/>
      <w:bookmarkStart w:id="34" w:name="OLE_LINK16"/>
      <w:r>
        <w:rPr>
          <w:rFonts w:hint="eastAsia" w:ascii="宋体" w:hAnsi="宋体"/>
          <w:color w:val="000000" w:themeColor="text1"/>
          <w:sz w:val="24"/>
          <w:szCs w:val="24"/>
        </w:rPr>
        <w:t xml:space="preserve">落实政府采购政策需满足的资格要求</w:t>
      </w:r>
      <w:bookmarkEnd w:id="33"/>
      <w:r/>
      <w:bookmarkEnd w:id="34"/>
      <w:r>
        <w:rPr>
          <w:rFonts w:hint="eastAsia" w:ascii="宋体" w:hAnsi="宋体"/>
          <w:color w:val="000000" w:themeColor="text1"/>
          <w:sz w:val="24"/>
          <w:szCs w:val="24"/>
        </w:rPr>
        <w:t xml:space="preserve">：</w:t>
      </w:r>
      <w:bookmarkStart w:id="35" w:name="OLE_LINK6"/>
      <w:r/>
      <w:bookmarkStart w:id="36" w:name="OLE_LINK5"/>
      <w:r>
        <w:rPr>
          <w:rFonts w:hint="eastAsia" w:ascii="宋体" w:hAnsi="宋体"/>
          <w:color w:val="000000" w:themeColor="text1"/>
          <w:sz w:val="24"/>
          <w:szCs w:val="24"/>
        </w:rPr>
        <w:t xml:space="preserve">本项目为专门面向中小微企业采购项目。（须按照财库〔2020〕46号文要求提供中小企业声明函。格式见附件</w:t>
      </w:r>
      <w:r>
        <w:rPr>
          <w:rFonts w:hint="eastAsia" w:ascii="宋体" w:hAnsi="宋体"/>
          <w:color w:val="000000" w:themeColor="text1"/>
          <w:sz w:val="24"/>
          <w:szCs w:val="24"/>
          <w:lang w:val="en-US" w:eastAsia="zh-CN"/>
        </w:rPr>
        <w:t xml:space="preserve">11</w:t>
      </w:r>
      <w:r>
        <w:rPr>
          <w:rFonts w:hint="eastAsia" w:ascii="宋体" w:hAnsi="宋体"/>
          <w:color w:val="000000" w:themeColor="text1"/>
          <w:sz w:val="24"/>
          <w:szCs w:val="24"/>
        </w:rPr>
        <w:t xml:space="preserve">）。</w:t>
      </w:r>
      <w:bookmarkEnd w:id="35"/>
      <w:r/>
      <w:bookmarkEnd w:id="36"/>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themeColor="text1"/>
          <w:sz w:val="24"/>
          <w:szCs w:val="24"/>
          <w:lang w:eastAsia="zh-CN"/>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4.本项目不接受联合体投标。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5.本项目不接受进口产品投标。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6.本项目不接受分包。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spacing w:line="360" w:lineRule="auto"/>
        <w:rPr>
          <w:b/>
          <w:bCs/>
          <w:color w:val="000000" w:themeColor="text1"/>
          <w:sz w:val="32"/>
          <w:szCs w:val="32"/>
        </w:rPr>
      </w:pPr>
      <w:r>
        <w:rPr>
          <w:rFonts w:hint="eastAsia"/>
          <w:b/>
          <w:bCs/>
          <w:color w:val="000000" w:themeColor="text1"/>
          <w:sz w:val="32"/>
          <w:szCs w:val="32"/>
        </w:rPr>
        <w:t xml:space="preserve">三、获取</w:t>
      </w:r>
      <w:bookmarkEnd w:id="21"/>
      <w:r/>
      <w:bookmarkEnd w:id="22"/>
      <w:r/>
      <w:bookmarkEnd w:id="23"/>
      <w:r/>
      <w:bookmarkEnd w:id="24"/>
      <w:r/>
      <w:bookmarkEnd w:id="25"/>
      <w:r>
        <w:rPr>
          <w:rFonts w:hint="eastAsia"/>
          <w:b/>
          <w:bCs/>
          <w:color w:val="000000" w:themeColor="text1"/>
          <w:sz w:val="32"/>
          <w:szCs w:val="32"/>
        </w:rPr>
        <w:t xml:space="preserve">磋商文件</w:t>
      </w:r>
      <w:r/>
    </w:p>
    <w:p>
      <w:pPr>
        <w:ind w:firstLine="480"/>
        <w:spacing w:line="360" w:lineRule="auto"/>
        <w:rPr>
          <w:rFonts w:ascii="宋体" w:hAnsi="宋体" w:cs="宋体"/>
          <w:b/>
          <w:color w:val="000000" w:themeColor="text1"/>
          <w:sz w:val="24"/>
          <w:szCs w:val="24"/>
        </w:rPr>
      </w:pPr>
      <w:r/>
      <w:bookmarkStart w:id="37" w:name="_Toc28359082"/>
      <w:r/>
      <w:bookmarkStart w:id="38" w:name="_Toc28359005"/>
      <w:r/>
      <w:bookmarkStart w:id="39" w:name="_Toc38985266"/>
      <w:r/>
      <w:bookmarkStart w:id="40" w:name="_Toc35393624"/>
      <w:r/>
      <w:bookmarkStart w:id="41" w:name="_Toc35393793"/>
      <w:r>
        <w:rPr>
          <w:rFonts w:hint="eastAsia" w:ascii="宋体" w:hAnsi="宋体" w:cs="宋体"/>
          <w:color w:val="000000" w:themeColor="text1"/>
          <w:sz w:val="24"/>
          <w:szCs w:val="24"/>
        </w:rPr>
        <w:t xml:space="preserve">1.时间：</w:t>
      </w:r>
      <w:r>
        <w:rPr>
          <w:rFonts w:ascii="宋体" w:hAnsi="宋体" w:cs="宋体"/>
          <w:color w:val="000000" w:themeColor="text1"/>
          <w:sz w:val="24"/>
          <w:szCs w:val="24"/>
        </w:rPr>
        <w:t xml:space="preserve">202</w:t>
      </w:r>
      <w:r>
        <w:rPr>
          <w:rFonts w:hint="eastAsia" w:ascii="宋体" w:hAnsi="宋体" w:cs="宋体"/>
          <w:color w:val="000000" w:themeColor="text1"/>
          <w:sz w:val="24"/>
          <w:szCs w:val="24"/>
        </w:rPr>
        <w:t xml:space="preserve">6年</w:t>
      </w:r>
      <w:r>
        <w:rPr>
          <w:rFonts w:hint="eastAsia" w:ascii="宋体" w:hAnsi="宋体" w:cs="宋体"/>
          <w:color w:val="000000" w:themeColor="text1"/>
          <w:sz w:val="24"/>
          <w:szCs w:val="24"/>
          <w:lang w:val="en-US" w:eastAsia="zh-CN"/>
        </w:rPr>
        <w:t xml:space="preserve">05</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27</w:t>
      </w:r>
      <w:r>
        <w:rPr>
          <w:rFonts w:hint="eastAsia" w:ascii="宋体" w:hAnsi="宋体" w:cs="宋体"/>
          <w:color w:val="000000" w:themeColor="text1"/>
          <w:sz w:val="24"/>
          <w:szCs w:val="24"/>
        </w:rPr>
        <w:t xml:space="preserve">日至</w:t>
      </w:r>
      <w:r>
        <w:rPr>
          <w:rFonts w:ascii="宋体" w:hAnsi="宋体" w:cs="宋体"/>
          <w:color w:val="000000" w:themeColor="text1"/>
          <w:sz w:val="24"/>
          <w:szCs w:val="24"/>
        </w:rPr>
        <w:t xml:space="preserve">202</w:t>
      </w:r>
      <w:r>
        <w:rPr>
          <w:rFonts w:hint="eastAsia" w:ascii="宋体" w:hAnsi="宋体" w:cs="宋体"/>
          <w:color w:val="000000" w:themeColor="text1"/>
          <w:sz w:val="24"/>
          <w:szCs w:val="24"/>
        </w:rPr>
        <w:t xml:space="preserve">6年</w:t>
      </w:r>
      <w:r>
        <w:rPr>
          <w:rFonts w:hint="eastAsia" w:ascii="宋体" w:hAnsi="宋体" w:cs="宋体"/>
          <w:color w:val="000000" w:themeColor="text1"/>
          <w:sz w:val="24"/>
          <w:szCs w:val="24"/>
          <w:lang w:val="en-US" w:eastAsia="zh-CN"/>
        </w:rPr>
        <w:t xml:space="preserve">06</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08</w:t>
      </w:r>
      <w:r>
        <w:rPr>
          <w:rFonts w:hint="eastAsia" w:ascii="宋体" w:hAnsi="宋体" w:cs="宋体"/>
          <w:color w:val="000000" w:themeColor="text1"/>
          <w:sz w:val="24"/>
          <w:szCs w:val="24"/>
        </w:rPr>
        <w:t xml:space="preserve">日（提供期限自本公告发布之日起不得少于5个工作日）。</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2.方式：在“江苏政府采购网”自行免费下载磋商文件。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3.获取方式：本项目采用网上注册登记方式。</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3.1潜在供应商访问电子招标响应交易平台的网络地址和方法：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3.2潜在供应商访问“苏采云”系统的网络地址和方法：“苏采云”系统的网址：http://jszfcg.jsczt.cn/。</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3.3“CA数字证书”的获取：</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3.4</w:t>
      </w:r>
      <w:r>
        <w:rPr>
          <w:rFonts w:hint="eastAsia" w:ascii="宋体" w:hAnsi="宋体" w:cs="宋体"/>
          <w:color w:val="000000" w:themeColor="text1"/>
          <w:sz w:val="24"/>
          <w:szCs w:val="24"/>
          <w:lang w:val="en-US" w:eastAsia="zh-CN"/>
        </w:rPr>
        <w:t xml:space="preserve">磋商</w:t>
      </w:r>
      <w:r>
        <w:rPr>
          <w:rFonts w:hint="eastAsia" w:ascii="宋体" w:hAnsi="宋体" w:cs="宋体"/>
          <w:color w:val="000000" w:themeColor="text1"/>
          <w:sz w:val="24"/>
          <w:szCs w:val="24"/>
        </w:rPr>
        <w:t xml:space="preserve">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四、提交</w:t>
      </w:r>
      <w:bookmarkEnd w:id="37"/>
      <w:r/>
      <w:bookmarkEnd w:id="38"/>
      <w:r>
        <w:rPr>
          <w:rFonts w:hint="eastAsia"/>
          <w:b/>
          <w:bCs/>
          <w:color w:val="000000" w:themeColor="text1"/>
          <w:sz w:val="32"/>
          <w:szCs w:val="32"/>
        </w:rPr>
        <w:t xml:space="preserve">响应文件截止时间</w:t>
      </w:r>
      <w:bookmarkEnd w:id="39"/>
      <w:r/>
      <w:bookmarkEnd w:id="40"/>
      <w:r/>
      <w:bookmarkEnd w:id="41"/>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szCs w:val="24"/>
          <w:u w:val="single"/>
        </w:rPr>
        <w:t xml:space="preserve">1.</w:t>
      </w:r>
      <w:r>
        <w:rPr>
          <w:rFonts w:ascii="宋体" w:hAnsi="宋体"/>
          <w:bCs/>
          <w:color w:val="000000" w:themeColor="text1"/>
          <w:sz w:val="24"/>
          <w:szCs w:val="24"/>
          <w:u w:val="single"/>
        </w:rPr>
        <w:t xml:space="preserve">202</w:t>
      </w:r>
      <w:r>
        <w:rPr>
          <w:rFonts w:hint="eastAsia" w:ascii="宋体" w:hAnsi="宋体"/>
          <w:bCs/>
          <w:color w:val="000000" w:themeColor="text1"/>
          <w:sz w:val="24"/>
          <w:szCs w:val="24"/>
          <w:u w:val="single"/>
        </w:rPr>
        <w:t xml:space="preserve">6年</w:t>
      </w:r>
      <w:r>
        <w:rPr>
          <w:rFonts w:hint="eastAsia" w:ascii="宋体" w:hAnsi="宋体"/>
          <w:bCs/>
          <w:color w:val="000000" w:themeColor="text1"/>
          <w:sz w:val="24"/>
          <w:szCs w:val="24"/>
          <w:u w:val="single"/>
          <w:lang w:val="en-US" w:eastAsia="zh-CN"/>
        </w:rPr>
        <w:t xml:space="preserve">06</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08</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lang w:val="en-US" w:eastAsia="zh-CN"/>
        </w:rPr>
        <w:t xml:space="preserve">14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3</w:t>
      </w:r>
      <w:r>
        <w:rPr>
          <w:rFonts w:hint="eastAsia" w:ascii="宋体" w:hAnsi="宋体"/>
          <w:bCs/>
          <w:color w:val="000000" w:themeColor="text1"/>
          <w:sz w:val="24"/>
          <w:szCs w:val="24"/>
          <w:u w:val="single"/>
        </w:rPr>
        <w:t xml:space="preserve">0分</w:t>
      </w:r>
      <w:r>
        <w:rPr>
          <w:rFonts w:hint="eastAsia" w:ascii="宋体" w:hAnsi="宋体"/>
          <w:bCs/>
          <w:color w:val="000000" w:themeColor="text1"/>
          <w:sz w:val="24"/>
          <w:szCs w:val="24"/>
        </w:rPr>
        <w:t xml:space="preserve">（北京时间）。</w:t>
      </w:r>
      <w:r>
        <w:rPr>
          <w:rFonts w:hint="eastAsia" w:ascii="宋体" w:hAnsi="宋体" w:cs="宋体"/>
          <w:color w:val="000000" w:themeColor="text1"/>
          <w:sz w:val="24"/>
          <w:szCs w:val="24"/>
        </w:rPr>
        <w:t xml:space="preserve">（自磋商文件开始发出之日起至供应商提交响应文件截止之日止，不得少于10日。）</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2.地点：“苏采云”政府采购交易系统网上开标大厅。</w:t>
      </w:r>
      <w:r/>
    </w:p>
    <w:p>
      <w:pPr>
        <w:ind w:firstLine="480"/>
        <w:spacing w:line="360" w:lineRule="auto"/>
        <w:rPr>
          <w:rFonts w:ascii="宋体" w:hAnsi="宋体"/>
          <w:bCs/>
          <w:color w:val="000000" w:themeColor="text1"/>
          <w:sz w:val="24"/>
          <w:szCs w:val="24"/>
        </w:rPr>
      </w:pPr>
      <w:r>
        <w:rPr>
          <w:rFonts w:hint="eastAsia" w:ascii="宋体" w:hAnsi="宋体"/>
          <w:b/>
          <w:bCs/>
          <w:color w:val="000000" w:themeColor="text1"/>
          <w:sz w:val="24"/>
          <w:szCs w:val="24"/>
        </w:rPr>
        <w:t xml:space="preserve">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rPr>
        <w:t xml:space="preserve">供应商未在磋商小组规定的时间内在苏采云系统中提交最后报价的视为放弃磋商，其响应文件按无效响应处理。</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rPr>
        <w:t xml:space="preserve">供应商在开标室按规定时间自行实施远程解密，供应商解密限定在开标后30分钟之内完成。</w:t>
      </w:r>
      <w:r>
        <w:rPr>
          <w:rFonts w:hint="eastAsia" w:ascii="宋体" w:hAnsi="宋体"/>
          <w:bCs/>
          <w:color w:val="000000" w:themeColor="text1"/>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b/>
          <w:bCs/>
          <w:color w:val="000000" w:themeColor="text1"/>
          <w:sz w:val="32"/>
          <w:szCs w:val="32"/>
        </w:rPr>
        <w:outlineLvl w:val="2"/>
      </w:pPr>
      <w:r/>
      <w:bookmarkStart w:id="42" w:name="_Toc35393794"/>
      <w:r/>
      <w:bookmarkStart w:id="43" w:name="_Toc28359007"/>
      <w:r/>
      <w:bookmarkStart w:id="44" w:name="_Toc35393625"/>
      <w:r/>
      <w:bookmarkStart w:id="45" w:name="_Toc38985267"/>
      <w:r/>
      <w:bookmarkStart w:id="46" w:name="_Toc28359084"/>
      <w:r>
        <w:rPr>
          <w:rFonts w:hint="eastAsia"/>
          <w:b/>
          <w:bCs/>
          <w:color w:val="000000" w:themeColor="text1"/>
          <w:sz w:val="32"/>
          <w:szCs w:val="32"/>
        </w:rPr>
        <w:t xml:space="preserve">五、公告期限</w:t>
      </w:r>
      <w:bookmarkEnd w:id="42"/>
      <w:r/>
      <w:bookmarkEnd w:id="43"/>
      <w:r/>
      <w:bookmarkEnd w:id="44"/>
      <w:r/>
      <w:bookmarkEnd w:id="45"/>
      <w:r/>
      <w:bookmarkEnd w:id="46"/>
      <w:r/>
      <w:r/>
    </w:p>
    <w:p>
      <w:pPr>
        <w:ind w:firstLine="480"/>
        <w:spacing w:line="360" w:lineRule="auto"/>
        <w:rPr>
          <w:rFonts w:ascii="宋体" w:hAnsi="宋体" w:cs="宋体"/>
          <w:color w:val="000000" w:themeColor="text1"/>
          <w:sz w:val="24"/>
          <w:szCs w:val="24"/>
        </w:rPr>
      </w:pPr>
      <w:r/>
      <w:bookmarkStart w:id="47" w:name="_Toc35393795"/>
      <w:r/>
      <w:bookmarkStart w:id="48" w:name="_Toc38985268"/>
      <w:r/>
      <w:bookmarkStart w:id="49" w:name="_Toc35393626"/>
      <w:r>
        <w:rPr>
          <w:rFonts w:hint="eastAsia" w:ascii="宋体" w:hAnsi="宋体" w:cs="宋体"/>
          <w:color w:val="000000" w:themeColor="text1"/>
          <w:sz w:val="24"/>
          <w:szCs w:val="24"/>
        </w:rPr>
        <w:t xml:space="preserve">磋商公告及磋商文件公告期限为自本公告发布之日起5个工作日。</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六、其他补充事宜</w:t>
      </w:r>
      <w:bookmarkEnd w:id="47"/>
      <w:r/>
      <w:bookmarkEnd w:id="48"/>
      <w:r/>
      <w:bookmarkEnd w:id="49"/>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1.投标保证金：免收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2.项目开标活动模式：不见面远程开标模式，供应商在各自地点通过“苏采云”政府采购交易系统参加磋商活动。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3.项目演示、样品、答辩等（如有请描述）：无。</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000000" w:themeColor="text1"/>
          <w:sz w:val="24"/>
          <w:szCs w:val="24"/>
        </w:rPr>
      </w:pPr>
      <w:r/>
      <w:bookmarkStart w:id="50" w:name="_Toc28359085"/>
      <w:r/>
      <w:bookmarkStart w:id="51" w:name="_Toc35393796"/>
      <w:r/>
      <w:bookmarkStart w:id="52" w:name="_Toc35393627"/>
      <w:r/>
      <w:bookmarkStart w:id="53" w:name="_Toc38985269"/>
      <w:r/>
      <w:bookmarkStart w:id="54" w:name="_Toc28359008"/>
      <w:r>
        <w:rPr>
          <w:rFonts w:hint="eastAsia" w:ascii="宋体" w:hAnsi="宋体" w:cs="宋体"/>
          <w:color w:val="000000" w:themeColor="text1"/>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6.有关本次磋商的事项若存在变动或修改，敬请及时关注采购人在“江苏政府采购网”发布的更正公告。</w:t>
      </w:r>
      <w:r/>
    </w:p>
    <w:p>
      <w:pPr>
        <w:ind w:firstLine="498"/>
        <w:keepLines/>
        <w:keepNext/>
        <w:spacing w:line="360" w:lineRule="auto"/>
        <w:rPr>
          <w:b/>
          <w:bCs/>
          <w:color w:val="000000" w:themeColor="text1"/>
          <w:sz w:val="32"/>
          <w:szCs w:val="32"/>
        </w:rPr>
        <w:outlineLvl w:val="2"/>
      </w:pPr>
      <w:r>
        <w:rPr>
          <w:rFonts w:hint="eastAsia"/>
          <w:b/>
          <w:bCs/>
          <w:color w:val="000000" w:themeColor="text1"/>
          <w:sz w:val="32"/>
          <w:szCs w:val="32"/>
        </w:rPr>
        <w:t xml:space="preserve">七、本次磋商联系方式</w:t>
      </w:r>
      <w:bookmarkEnd w:id="50"/>
      <w:r/>
      <w:bookmarkEnd w:id="51"/>
      <w:r/>
      <w:bookmarkEnd w:id="52"/>
      <w:r/>
      <w:bookmarkEnd w:id="53"/>
      <w:r/>
      <w:bookmarkEnd w:id="54"/>
      <w:r/>
      <w:r/>
    </w:p>
    <w:p>
      <w:pPr>
        <w:ind w:firstLine="480"/>
        <w:jc w:val="left"/>
        <w:spacing w:line="360" w:lineRule="auto"/>
        <w:widowControl/>
        <w:rPr>
          <w:rFonts w:ascii="宋体" w:hAnsi="宋体"/>
          <w:color w:val="000000" w:themeColor="text1"/>
          <w:sz w:val="24"/>
          <w:szCs w:val="24"/>
        </w:rPr>
      </w:pPr>
      <w:r/>
      <w:bookmarkStart w:id="55" w:name="_Toc28359010"/>
      <w:r/>
      <w:bookmarkStart w:id="56" w:name="_Toc28359087"/>
      <w:r>
        <w:rPr>
          <w:rFonts w:hint="eastAsia" w:ascii="宋体" w:hAnsi="宋体" w:cs="宋体"/>
          <w:color w:val="000000" w:themeColor="text1"/>
          <w:sz w:val="24"/>
          <w:szCs w:val="24"/>
        </w:rPr>
        <w:t xml:space="preserve">1.采购人信息</w:t>
      </w:r>
      <w:r/>
    </w:p>
    <w:p>
      <w:pPr>
        <w:ind w:firstLine="480"/>
        <w:jc w:val="left"/>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名 称：</w:t>
      </w:r>
      <w:r>
        <w:rPr>
          <w:rFonts w:hint="eastAsia" w:ascii="宋体" w:hAnsi="宋体"/>
          <w:color w:val="000000" w:themeColor="text1"/>
          <w:sz w:val="24"/>
          <w:szCs w:val="24"/>
          <w:lang w:eastAsia="zh-CN"/>
        </w:rPr>
        <w:t xml:space="preserve">江苏省曲塘高级中学</w:t>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地址：海安曲塘镇中心北街5号</w:t>
      </w:r>
      <w:r>
        <w:rPr>
          <w:rFonts w:ascii="宋体" w:hAnsi="宋体"/>
          <w:color w:val="000000" w:themeColor="text1"/>
          <w:sz w:val="24"/>
          <w:szCs w:val="24"/>
        </w:rPr>
        <w:t xml:space="preserve"> </w:t>
      </w:r>
      <w:r/>
    </w:p>
    <w:p>
      <w:pPr>
        <w:ind w:firstLine="480"/>
        <w:jc w:val="left"/>
        <w:spacing w:line="360" w:lineRule="auto"/>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于鹏</w:t>
      </w:r>
      <w:r/>
    </w:p>
    <w:p>
      <w:pPr>
        <w:ind w:firstLine="480"/>
        <w:jc w:val="left"/>
        <w:spacing w:line="360" w:lineRule="auto"/>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联系方式：</w:t>
      </w:r>
      <w:bookmarkStart w:id="57" w:name="_Toc28359086"/>
      <w:r/>
      <w:bookmarkStart w:id="58" w:name="_Toc28359009"/>
      <w:r>
        <w:rPr>
          <w:rFonts w:hint="eastAsia" w:ascii="宋体" w:hAnsi="宋体"/>
          <w:color w:val="000000" w:themeColor="text1"/>
          <w:sz w:val="24"/>
          <w:szCs w:val="24"/>
        </w:rPr>
        <w:t xml:space="preserve">13255235575</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bookmarkEnd w:id="57"/>
      <w:r/>
      <w:bookmarkEnd w:id="58"/>
      <w:r>
        <w:rPr>
          <w:rFonts w:hint="eastAsia" w:ascii="宋体" w:hAnsi="宋体" w:cs="宋体"/>
          <w:color w:val="000000" w:themeColor="text1"/>
          <w:sz w:val="24"/>
          <w:szCs w:val="24"/>
        </w:rPr>
        <w:t xml:space="preserve">采购代理机构信息</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  称：江苏建达全过程工程咨询有限公司</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地  址：海安市宁海南路195号</w:t>
      </w:r>
      <w:r/>
    </w:p>
    <w:p>
      <w:pPr>
        <w:ind w:firstLine="480"/>
        <w:spacing w:line="360" w:lineRule="auto"/>
        <w:rPr>
          <w:rFonts w:hint="default" w:ascii="宋体" w:hAnsi="宋体" w:eastAsia="宋体" w:cs="宋体"/>
          <w:color w:val="000000" w:themeColor="text1"/>
          <w:sz w:val="24"/>
          <w:szCs w:val="24"/>
          <w:lang w:val="en-US" w:eastAsia="zh-CN"/>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lang w:val="en-US" w:eastAsia="zh-CN"/>
        </w:rPr>
        <w:t xml:space="preserve">徐兆霞</w:t>
      </w:r>
      <w:r/>
    </w:p>
    <w:p>
      <w:pPr>
        <w:ind w:firstLine="480"/>
        <w:spacing w:line="360" w:lineRule="auto"/>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lang w:val="en-US" w:eastAsia="zh-CN"/>
        </w:rPr>
        <w:t xml:space="preserve">15358708177</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3.项目联系方式</w:t>
      </w:r>
      <w:r/>
    </w:p>
    <w:p>
      <w:pPr>
        <w:ind w:firstLine="48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磋商文件制作人:</w:t>
      </w:r>
      <w:r>
        <w:rPr>
          <w:rFonts w:hint="eastAsia" w:ascii="宋体" w:hAnsi="宋体" w:cs="宋体"/>
          <w:color w:val="000000" w:themeColor="text1"/>
          <w:sz w:val="24"/>
          <w:szCs w:val="24"/>
          <w:lang w:val="en-US" w:eastAsia="zh-CN"/>
        </w:rPr>
        <w:t xml:space="preserve">徐</w:t>
      </w:r>
      <w:r>
        <w:rPr>
          <w:rFonts w:hint="eastAsia" w:ascii="宋体" w:hAnsi="宋体" w:cs="宋体"/>
          <w:color w:val="000000" w:themeColor="text1"/>
          <w:sz w:val="24"/>
          <w:szCs w:val="24"/>
          <w:lang w:val="en-US" w:eastAsia="zh-CN"/>
        </w:rPr>
        <w:t xml:space="preserve">兆</w:t>
      </w:r>
      <w:r>
        <w:rPr>
          <w:rFonts w:hint="eastAsia" w:ascii="宋体" w:hAnsi="宋体" w:cs="宋体"/>
          <w:color w:val="000000" w:themeColor="text1"/>
          <w:sz w:val="24"/>
          <w:szCs w:val="24"/>
          <w:lang w:val="en-US" w:eastAsia="zh-CN"/>
        </w:rPr>
        <w:t xml:space="preserve">霞</w:t>
      </w:r>
      <w:r>
        <w:rPr>
          <w:rFonts w:hint="eastAsia" w:ascii="宋体" w:hAnsi="宋体" w:cs="宋体"/>
          <w:color w:val="000000" w:themeColor="text1"/>
          <w:sz w:val="24"/>
          <w:szCs w:val="24"/>
          <w:lang w:val="en-US" w:eastAsia="zh-CN"/>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项目磋商经办人: </w:t>
      </w:r>
      <w:r>
        <w:rPr>
          <w:rFonts w:hint="eastAsia" w:ascii="宋体" w:hAnsi="宋体"/>
          <w:color w:val="000000" w:themeColor="text1"/>
          <w:sz w:val="24"/>
          <w:szCs w:val="24"/>
          <w:lang w:val="en-US" w:eastAsia="zh-CN"/>
        </w:rPr>
        <w:t xml:space="preserve">于鹏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交易系统软件维护人员：那工</w:t>
      </w:r>
      <w:r>
        <w:rPr>
          <w:rFonts w:ascii="宋体" w:hAnsi="宋体"/>
          <w:color w:val="000000" w:themeColor="text1"/>
          <w:sz w:val="24"/>
          <w:szCs w:val="24"/>
        </w:rPr>
        <w:t xml:space="preserve">0519-86722801、0519-86722806</w:t>
      </w:r>
      <w:bookmarkEnd w:id="55"/>
      <w:r/>
      <w:bookmarkEnd w:id="56"/>
      <w:r/>
      <w:r/>
    </w:p>
    <w:p>
      <w:pPr>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jc w:val="left"/>
        <w:spacing w:line="560" w:lineRule="exact"/>
        <w:widowControl/>
        <w:rPr>
          <w:rFonts w:ascii="宋体" w:hAnsi="宋体"/>
          <w:color w:val="000000" w:themeColor="text1"/>
          <w:sz w:val="24"/>
          <w:szCs w:val="24"/>
        </w:rPr>
      </w:pPr>
      <w:r>
        <w:rPr>
          <w:rFonts w:ascii="宋体" w:hAnsi="宋体"/>
          <w:color w:val="000000" w:themeColor="text1"/>
          <w:sz w:val="24"/>
          <w:szCs w:val="24"/>
        </w:rPr>
      </w:r>
      <w:r/>
    </w:p>
    <w:p>
      <w:pPr>
        <w:jc w:val="left"/>
        <w:widowControl/>
        <w:rPr>
          <w:rFonts w:ascii="宋体" w:hAnsi="宋体"/>
          <w:color w:val="000000" w:themeColor="text1"/>
          <w:sz w:val="24"/>
          <w:szCs w:val="24"/>
        </w:rPr>
      </w:pPr>
      <w:r>
        <w:rPr>
          <w:rFonts w:ascii="宋体" w:hAnsi="宋体"/>
          <w:color w:val="000000" w:themeColor="text1"/>
          <w:sz w:val="24"/>
          <w:szCs w:val="24"/>
        </w:rPr>
        <w:br w:type="page" w:clear="all"/>
      </w:r>
      <w:r/>
    </w:p>
    <w:p>
      <w:pPr>
        <w:jc w:val="center"/>
        <w:widowControl/>
        <w:rPr>
          <w:rFonts w:ascii="黑体" w:hAnsi="Arial" w:eastAsia="黑体" w:cs="Arial"/>
          <w:color w:val="000000" w:themeColor="text1"/>
          <w:sz w:val="44"/>
          <w:szCs w:val="44"/>
        </w:rPr>
      </w:pPr>
      <w:r/>
      <w:bookmarkStart w:id="59" w:name="_Toc120614211"/>
      <w:r>
        <w:rPr>
          <w:rFonts w:hint="eastAsia" w:ascii="黑体" w:hAnsi="Arial" w:eastAsia="黑体" w:cs="Arial"/>
          <w:b/>
          <w:bCs/>
          <w:color w:val="000000" w:themeColor="text1"/>
          <w:sz w:val="44"/>
          <w:szCs w:val="44"/>
        </w:rPr>
        <w:t xml:space="preserve">第二章  </w:t>
      </w:r>
      <w:bookmarkEnd w:id="1"/>
      <w:r/>
      <w:bookmarkEnd w:id="2"/>
      <w:r/>
      <w:bookmarkEnd w:id="3"/>
      <w:r/>
      <w:bookmarkEnd w:id="4"/>
      <w:r/>
      <w:bookmarkEnd w:id="5"/>
      <w:r/>
      <w:bookmarkEnd w:id="59"/>
      <w:r>
        <w:rPr>
          <w:rFonts w:hint="eastAsia" w:ascii="黑体" w:hAnsi="Arial" w:eastAsia="黑体" w:cs="Arial"/>
          <w:b/>
          <w:bCs/>
          <w:color w:val="000000" w:themeColor="text1"/>
          <w:sz w:val="44"/>
          <w:szCs w:val="44"/>
        </w:rPr>
        <w:t xml:space="preserve">供应商须知</w:t>
      </w:r>
      <w:r/>
    </w:p>
    <w:p>
      <w:pPr>
        <w:ind w:firstLine="482"/>
        <w:spacing w:line="360" w:lineRule="auto"/>
        <w:rPr>
          <w:rFonts w:ascii="宋体" w:hAnsi="宋体"/>
          <w:b/>
          <w:color w:val="000000" w:themeColor="text1"/>
          <w:sz w:val="24"/>
          <w:szCs w:val="24"/>
        </w:rPr>
      </w:pPr>
      <w:r/>
      <w:bookmarkStart w:id="60" w:name="_Toc513029203"/>
      <w:r/>
      <w:bookmarkStart w:id="61" w:name="_Toc16938519"/>
      <w:r/>
      <w:bookmarkStart w:id="62" w:name="_Toc20823275"/>
      <w:r/>
      <w:bookmarkStart w:id="63" w:name="_Toc120614214"/>
      <w:r>
        <w:rPr>
          <w:rFonts w:hint="eastAsia" w:ascii="宋体" w:hAnsi="宋体"/>
          <w:b/>
          <w:color w:val="000000" w:themeColor="text1"/>
          <w:sz w:val="24"/>
          <w:szCs w:val="24"/>
        </w:rPr>
        <w:t xml:space="preserve">一、总则</w:t>
      </w:r>
      <w:bookmarkEnd w:id="60"/>
      <w:r/>
      <w:bookmarkEnd w:id="61"/>
      <w:r/>
      <w:bookmarkEnd w:id="62"/>
      <w:r/>
      <w:bookmarkEnd w:id="63"/>
      <w:r/>
      <w:r/>
    </w:p>
    <w:p>
      <w:pPr>
        <w:ind w:firstLine="482"/>
        <w:spacing w:line="360" w:lineRule="auto"/>
        <w:rPr>
          <w:rFonts w:ascii="宋体" w:hAnsi="宋体"/>
          <w:b/>
          <w:color w:val="000000" w:themeColor="text1"/>
          <w:sz w:val="24"/>
          <w:szCs w:val="24"/>
        </w:rPr>
      </w:pPr>
      <w:r/>
      <w:bookmarkStart w:id="64" w:name="_Hlt16619475"/>
      <w:r/>
      <w:bookmarkEnd w:id="64"/>
      <w:r/>
      <w:bookmarkStart w:id="65" w:name="_Toc458694821"/>
      <w:r/>
      <w:bookmarkStart w:id="66" w:name="_Toc513029204"/>
      <w:r/>
      <w:bookmarkStart w:id="67" w:name="_Toc20823276"/>
      <w:r/>
      <w:bookmarkStart w:id="68" w:name="_Toc16938520"/>
      <w:r>
        <w:rPr>
          <w:rFonts w:hint="eastAsia" w:ascii="宋体" w:hAnsi="宋体"/>
          <w:b/>
          <w:color w:val="000000" w:themeColor="text1"/>
          <w:sz w:val="24"/>
          <w:szCs w:val="24"/>
        </w:rPr>
        <w:t xml:space="preserve">1</w:t>
      </w:r>
      <w:bookmarkEnd w:id="65"/>
      <w:r>
        <w:rPr>
          <w:rFonts w:hint="eastAsia" w:ascii="宋体" w:hAnsi="宋体"/>
          <w:b/>
          <w:color w:val="000000" w:themeColor="text1"/>
          <w:sz w:val="24"/>
          <w:szCs w:val="24"/>
        </w:rPr>
        <w:t xml:space="preserve">、采购方式</w:t>
      </w:r>
      <w:bookmarkEnd w:id="66"/>
      <w:r/>
      <w:bookmarkEnd w:id="67"/>
      <w:r/>
      <w:bookmarkEnd w:id="6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1.1本次政府采购活动采取竞争性磋商(以下简称磋商)方式，本磋商文件仅适用于磋商公告中所述项目。</w:t>
      </w:r>
      <w:r/>
    </w:p>
    <w:p>
      <w:pPr>
        <w:ind w:firstLine="482"/>
        <w:spacing w:line="360" w:lineRule="auto"/>
        <w:rPr>
          <w:rFonts w:ascii="宋体" w:hAnsi="宋体"/>
          <w:b/>
          <w:color w:val="000000" w:themeColor="text1"/>
          <w:sz w:val="24"/>
          <w:szCs w:val="24"/>
        </w:rPr>
      </w:pPr>
      <w:r/>
      <w:bookmarkStart w:id="69" w:name="_Toc16938521"/>
      <w:r/>
      <w:bookmarkStart w:id="70" w:name="_Toc513029205"/>
      <w:r/>
      <w:bookmarkStart w:id="71" w:name="_Toc20823277"/>
      <w:r>
        <w:rPr>
          <w:rFonts w:hint="eastAsia" w:ascii="宋体" w:hAnsi="宋体"/>
          <w:b/>
          <w:color w:val="000000" w:themeColor="text1"/>
          <w:sz w:val="24"/>
          <w:szCs w:val="24"/>
        </w:rPr>
        <w:t xml:space="preserve">2、合格的</w:t>
      </w:r>
      <w:bookmarkEnd w:id="69"/>
      <w:r/>
      <w:bookmarkEnd w:id="70"/>
      <w:r/>
      <w:bookmarkEnd w:id="71"/>
      <w:r>
        <w:rPr>
          <w:rFonts w:hint="eastAsia" w:ascii="宋体" w:hAnsi="宋体"/>
          <w:b/>
          <w:color w:val="000000" w:themeColor="text1"/>
          <w:sz w:val="24"/>
          <w:szCs w:val="24"/>
        </w:rPr>
        <w:t xml:space="preserve">供应商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2.1满足磋商公告中供应商资格要求的规定。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2.2 满足本磋商文件实质性要求和条件的规定。</w:t>
      </w:r>
      <w:r/>
    </w:p>
    <w:p>
      <w:pPr>
        <w:ind w:firstLine="482"/>
        <w:spacing w:line="360" w:lineRule="auto"/>
        <w:rPr>
          <w:rFonts w:ascii="宋体" w:hAnsi="宋体"/>
          <w:b/>
          <w:color w:val="000000" w:themeColor="text1"/>
          <w:sz w:val="24"/>
          <w:szCs w:val="24"/>
        </w:rPr>
      </w:pPr>
      <w:r/>
      <w:bookmarkStart w:id="72" w:name="_Toc16938522"/>
      <w:r/>
      <w:bookmarkStart w:id="73" w:name="_Toc20823278"/>
      <w:r/>
      <w:bookmarkStart w:id="74" w:name="_Toc513029206"/>
      <w:r>
        <w:rPr>
          <w:rFonts w:hint="eastAsia" w:ascii="宋体" w:hAnsi="宋体"/>
          <w:b/>
          <w:color w:val="000000" w:themeColor="text1"/>
          <w:sz w:val="24"/>
          <w:szCs w:val="24"/>
        </w:rPr>
        <w:t xml:space="preserve">3、适用法律</w:t>
      </w:r>
      <w:bookmarkEnd w:id="72"/>
      <w:r/>
      <w:bookmarkEnd w:id="73"/>
      <w:r/>
      <w:bookmarkEnd w:id="74"/>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本次磋商及由此产生的合同受中华人民共和国有关的法律法规制约和保护</w:t>
      </w:r>
      <w:r>
        <w:rPr>
          <w:rFonts w:ascii="宋体" w:hAnsi="宋体"/>
          <w:color w:val="000000" w:themeColor="text1"/>
          <w:sz w:val="24"/>
          <w:szCs w:val="24"/>
        </w:rPr>
        <w:t xml:space="preserve">。</w:t>
      </w:r>
      <w:r/>
    </w:p>
    <w:p>
      <w:pPr>
        <w:ind w:firstLine="482"/>
        <w:spacing w:line="360" w:lineRule="auto"/>
        <w:rPr>
          <w:rFonts w:ascii="宋体" w:hAnsi="宋体"/>
          <w:b/>
          <w:color w:val="000000" w:themeColor="text1"/>
          <w:sz w:val="24"/>
          <w:szCs w:val="24"/>
        </w:rPr>
      </w:pPr>
      <w:r/>
      <w:bookmarkStart w:id="75" w:name="_Toc462564067"/>
      <w:r/>
      <w:bookmarkStart w:id="76" w:name="_Toc16938523"/>
      <w:r/>
      <w:bookmarkStart w:id="77" w:name="_Toc513029207"/>
      <w:r/>
      <w:bookmarkStart w:id="78" w:name="_Toc20823279"/>
      <w:r>
        <w:rPr>
          <w:rFonts w:hint="eastAsia" w:ascii="宋体" w:hAnsi="宋体"/>
          <w:b/>
          <w:color w:val="000000" w:themeColor="text1"/>
          <w:sz w:val="24"/>
          <w:szCs w:val="24"/>
        </w:rPr>
        <w:t xml:space="preserve">4、磋商费用</w:t>
      </w:r>
      <w:bookmarkEnd w:id="75"/>
      <w:r/>
      <w:bookmarkEnd w:id="76"/>
      <w:r/>
      <w:bookmarkEnd w:id="77"/>
      <w:r/>
      <w:bookmarkEnd w:id="7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4.1供应商应自行承担所有与参加磋商有关的费用，无论磋商过程中的做法和结果如何，采购人在任何情况下均无义务和责任承担这些费用。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4.2本次磋商不收取标书工本费。</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5、磋商文件的约束力</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5.1供应商一旦参加本项目采购活动，即被认为接受了本磋商文件的规定和约束。</w:t>
      </w:r>
      <w:r/>
    </w:p>
    <w:p>
      <w:pPr>
        <w:ind w:firstLine="482"/>
        <w:spacing w:line="360" w:lineRule="auto"/>
        <w:rPr>
          <w:rFonts w:ascii="宋体" w:hAnsi="宋体"/>
          <w:b/>
          <w:color w:val="000000" w:themeColor="text1"/>
          <w:sz w:val="24"/>
          <w:szCs w:val="24"/>
        </w:rPr>
      </w:pPr>
      <w:r/>
      <w:bookmarkStart w:id="79" w:name="_Toc120614215"/>
      <w:r/>
      <w:bookmarkStart w:id="80" w:name="_Toc16938525"/>
      <w:r/>
      <w:bookmarkStart w:id="81" w:name="_Toc20823281"/>
      <w:r/>
      <w:bookmarkStart w:id="82" w:name="_Toc513029209"/>
      <w:r>
        <w:rPr>
          <w:rFonts w:hint="eastAsia" w:ascii="宋体" w:hAnsi="宋体"/>
          <w:b/>
          <w:color w:val="000000" w:themeColor="text1"/>
          <w:sz w:val="24"/>
          <w:szCs w:val="24"/>
        </w:rPr>
        <w:t xml:space="preserve">二、</w:t>
      </w:r>
      <w:bookmarkEnd w:id="79"/>
      <w:r/>
      <w:bookmarkEnd w:id="80"/>
      <w:r/>
      <w:bookmarkEnd w:id="81"/>
      <w:r/>
      <w:bookmarkEnd w:id="82"/>
      <w:r>
        <w:rPr>
          <w:rFonts w:hint="eastAsia" w:ascii="宋体" w:hAnsi="宋体"/>
          <w:b/>
          <w:color w:val="000000" w:themeColor="text1"/>
          <w:sz w:val="24"/>
          <w:szCs w:val="24"/>
        </w:rPr>
        <w:t xml:space="preserve">磋商文件</w:t>
      </w:r>
      <w:r/>
    </w:p>
    <w:p>
      <w:pPr>
        <w:ind w:firstLine="482"/>
        <w:spacing w:line="360" w:lineRule="auto"/>
        <w:rPr>
          <w:rFonts w:ascii="宋体" w:hAnsi="宋体"/>
          <w:b/>
          <w:color w:val="000000" w:themeColor="text1"/>
          <w:sz w:val="24"/>
          <w:szCs w:val="24"/>
        </w:rPr>
      </w:pPr>
      <w:r/>
      <w:bookmarkStart w:id="83" w:name="_Toc20823282"/>
      <w:r/>
      <w:bookmarkStart w:id="84" w:name="_Toc16938526"/>
      <w:r/>
      <w:bookmarkStart w:id="85" w:name="_Toc513029210"/>
      <w:r>
        <w:rPr>
          <w:rFonts w:hint="eastAsia" w:ascii="宋体" w:hAnsi="宋体"/>
          <w:b/>
          <w:color w:val="000000" w:themeColor="text1"/>
          <w:sz w:val="24"/>
          <w:szCs w:val="24"/>
        </w:rPr>
        <w:t xml:space="preserve">6、磋商文件构成</w:t>
      </w:r>
      <w:bookmarkEnd w:id="83"/>
      <w:r/>
      <w:bookmarkEnd w:id="84"/>
      <w:r/>
      <w:bookmarkEnd w:id="8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6.1磋商文件由以下部分组成：</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（1）磋商</w:t>
      </w:r>
      <w:r>
        <w:rPr>
          <w:rFonts w:ascii="宋体" w:hAnsi="宋体"/>
          <w:color w:val="000000" w:themeColor="text1"/>
          <w:sz w:val="24"/>
          <w:szCs w:val="24"/>
        </w:rPr>
        <w:t xml:space="preserve">邀请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（2）供应商须知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（3）采购需求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（4）评审方法与评审标准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（5）响应文件格式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（6）附件（如有）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请仔细检查磋商文件是否齐全，如有缺漏请立即与采购人联系解决。</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ascii="宋体" w:hAnsi="宋体"/>
          <w:b/>
          <w:color w:val="000000" w:themeColor="text1"/>
          <w:sz w:val="24"/>
          <w:szCs w:val="24"/>
        </w:rPr>
      </w:pPr>
      <w:r/>
      <w:bookmarkStart w:id="86" w:name="_Toc513029211"/>
      <w:r/>
      <w:bookmarkStart w:id="87" w:name="_Toc462564070"/>
      <w:r/>
      <w:bookmarkStart w:id="88" w:name="_Toc20823283"/>
      <w:r/>
      <w:bookmarkStart w:id="89" w:name="_Toc16938527"/>
      <w:r>
        <w:rPr>
          <w:rFonts w:hint="eastAsia" w:ascii="宋体" w:hAnsi="宋体"/>
          <w:b/>
          <w:color w:val="000000" w:themeColor="text1"/>
          <w:sz w:val="24"/>
          <w:szCs w:val="24"/>
        </w:rPr>
        <w:t xml:space="preserve">7、磋商文件的澄清</w:t>
      </w:r>
      <w:bookmarkEnd w:id="86"/>
      <w:r/>
      <w:bookmarkEnd w:id="87"/>
      <w:r/>
      <w:bookmarkEnd w:id="88"/>
      <w:r/>
      <w:bookmarkEnd w:id="89"/>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任何要求对磋商文件进行澄清的供应商，应在磋商截止期5日前按磋商公告中的通讯地址，以书面形式通知采购人。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7.2采购人视情组织答疑会。</w:t>
      </w:r>
      <w:r/>
    </w:p>
    <w:p>
      <w:pPr>
        <w:ind w:firstLine="482"/>
        <w:spacing w:line="360" w:lineRule="auto"/>
        <w:rPr>
          <w:rFonts w:ascii="宋体" w:hAnsi="宋体"/>
          <w:b/>
          <w:color w:val="000000" w:themeColor="text1"/>
          <w:sz w:val="24"/>
          <w:szCs w:val="24"/>
        </w:rPr>
      </w:pPr>
      <w:r/>
      <w:bookmarkStart w:id="90" w:name="_Toc513029212"/>
      <w:r/>
      <w:bookmarkStart w:id="91" w:name="_Toc16938528"/>
      <w:r/>
      <w:bookmarkStart w:id="92" w:name="_Toc462564071"/>
      <w:r/>
      <w:bookmarkStart w:id="93" w:name="_Toc20823284"/>
      <w:r>
        <w:rPr>
          <w:rFonts w:hint="eastAsia" w:ascii="宋体" w:hAnsi="宋体"/>
          <w:b/>
          <w:color w:val="000000" w:themeColor="text1"/>
          <w:sz w:val="24"/>
          <w:szCs w:val="24"/>
        </w:rPr>
        <w:t xml:space="preserve">8、磋商文件的澄清和修改</w:t>
      </w:r>
      <w:bookmarkEnd w:id="90"/>
      <w:r/>
      <w:bookmarkEnd w:id="91"/>
      <w:r/>
      <w:bookmarkEnd w:id="92"/>
      <w:r/>
      <w:bookmarkEnd w:id="93"/>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spacing w:line="360" w:lineRule="auto"/>
        <w:rPr>
          <w:rFonts w:ascii="宋体" w:hAnsi="宋体"/>
          <w:b/>
          <w:color w:val="000000" w:themeColor="text1"/>
          <w:sz w:val="24"/>
          <w:szCs w:val="24"/>
        </w:rPr>
      </w:pPr>
      <w:r/>
      <w:bookmarkStart w:id="94" w:name="_Toc513029213"/>
      <w:r/>
      <w:bookmarkStart w:id="95" w:name="_Toc120614216"/>
      <w:r/>
      <w:bookmarkStart w:id="96" w:name="_Toc20823285"/>
      <w:r/>
      <w:bookmarkStart w:id="97" w:name="_Toc462564072"/>
      <w:r/>
      <w:bookmarkStart w:id="98" w:name="_Toc16938529"/>
      <w:r>
        <w:rPr>
          <w:rFonts w:hint="eastAsia" w:ascii="宋体" w:hAnsi="宋体"/>
          <w:b/>
          <w:color w:val="000000" w:themeColor="text1"/>
          <w:sz w:val="24"/>
          <w:szCs w:val="24"/>
        </w:rPr>
        <w:t xml:space="preserve">三、响应文件的编制</w:t>
      </w:r>
      <w:bookmarkEnd w:id="94"/>
      <w:r/>
      <w:bookmarkEnd w:id="95"/>
      <w:r/>
      <w:bookmarkEnd w:id="96"/>
      <w:r/>
      <w:bookmarkEnd w:id="97"/>
      <w:r/>
      <w:bookmarkEnd w:id="98"/>
      <w:r/>
      <w:r/>
    </w:p>
    <w:p>
      <w:pPr>
        <w:ind w:firstLine="482"/>
        <w:spacing w:line="360" w:lineRule="auto"/>
        <w:rPr>
          <w:rFonts w:ascii="宋体" w:hAnsi="宋体"/>
          <w:b/>
          <w:color w:val="000000" w:themeColor="text1"/>
          <w:sz w:val="24"/>
          <w:szCs w:val="24"/>
        </w:rPr>
      </w:pPr>
      <w:r/>
      <w:bookmarkStart w:id="99" w:name="_Toc20823286"/>
      <w:r/>
      <w:bookmarkStart w:id="100" w:name="_Toc462564073"/>
      <w:r/>
      <w:bookmarkStart w:id="101" w:name="_Toc16938530"/>
      <w:r/>
      <w:bookmarkStart w:id="102" w:name="_Toc513029214"/>
      <w:r>
        <w:rPr>
          <w:rFonts w:hint="eastAsia" w:ascii="宋体" w:hAnsi="宋体"/>
          <w:b/>
          <w:color w:val="000000" w:themeColor="text1"/>
          <w:sz w:val="24"/>
          <w:szCs w:val="24"/>
        </w:rPr>
        <w:t xml:space="preserve">9、响应文件的语言及度量衡单位</w:t>
      </w:r>
      <w:bookmarkEnd w:id="99"/>
      <w:r/>
      <w:bookmarkEnd w:id="100"/>
      <w:r/>
      <w:bookmarkEnd w:id="101"/>
      <w:r/>
      <w:bookmarkEnd w:id="102"/>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9.1供应商提交的响应文件以及供应商与采购人就有关磋商的所有来往通知、函件和文件均应使用简体中文。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除技术性能另有规定外，响应文件所使用的度量衡单位，均须采用国家法定计量单位。</w:t>
      </w:r>
      <w:r/>
    </w:p>
    <w:p>
      <w:pPr>
        <w:ind w:firstLine="482"/>
        <w:spacing w:line="360" w:lineRule="auto"/>
        <w:rPr>
          <w:rFonts w:ascii="宋体" w:hAnsi="宋体"/>
          <w:b/>
          <w:color w:val="000000" w:themeColor="text1"/>
          <w:sz w:val="24"/>
          <w:szCs w:val="24"/>
        </w:rPr>
      </w:pPr>
      <w:r/>
      <w:bookmarkStart w:id="103" w:name="_Toc462564074"/>
      <w:r/>
      <w:bookmarkStart w:id="104" w:name="_Toc20823287"/>
      <w:r/>
      <w:bookmarkStart w:id="105" w:name="_Toc16938531"/>
      <w:r/>
      <w:bookmarkStart w:id="106" w:name="_Toc513029215"/>
      <w:r>
        <w:rPr>
          <w:rFonts w:hint="eastAsia" w:ascii="宋体" w:hAnsi="宋体"/>
          <w:b/>
          <w:color w:val="000000" w:themeColor="text1"/>
          <w:sz w:val="24"/>
          <w:szCs w:val="24"/>
        </w:rPr>
        <w:t xml:space="preserve">10、响应文件构成</w:t>
      </w:r>
      <w:bookmarkEnd w:id="103"/>
      <w:r/>
      <w:bookmarkEnd w:id="104"/>
      <w:r/>
      <w:bookmarkEnd w:id="105"/>
      <w:r/>
      <w:bookmarkEnd w:id="106"/>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10.2 如标书制作工具中格式和内容与“江苏政府采购网”发布的磋商文件不一致，请以“江苏政府采购网”发布的磋商文件为准。</w:t>
      </w:r>
      <w:r/>
    </w:p>
    <w:p>
      <w:pPr>
        <w:ind w:firstLine="482"/>
        <w:spacing w:line="360" w:lineRule="auto"/>
        <w:rPr>
          <w:rFonts w:ascii="宋体" w:hAnsi="宋体"/>
          <w:b/>
          <w:color w:val="000000" w:themeColor="text1"/>
          <w:sz w:val="24"/>
          <w:szCs w:val="24"/>
        </w:rPr>
      </w:pPr>
      <w:r/>
      <w:bookmarkStart w:id="107" w:name="_Hlt26668975"/>
      <w:r/>
      <w:bookmarkEnd w:id="107"/>
      <w:r/>
      <w:bookmarkStart w:id="108" w:name="_Hlt26670360"/>
      <w:r/>
      <w:bookmarkEnd w:id="108"/>
      <w:r/>
      <w:bookmarkStart w:id="109" w:name="_Hlt26954838"/>
      <w:r/>
      <w:bookmarkEnd w:id="109"/>
      <w:r/>
      <w:bookmarkStart w:id="110" w:name="_Toc14577357"/>
      <w:r/>
      <w:bookmarkStart w:id="111" w:name="_Toc513029219"/>
      <w:r/>
      <w:bookmarkStart w:id="112" w:name="_Toc49090509"/>
      <w:r/>
      <w:bookmarkStart w:id="113" w:name="_Toc513029216"/>
      <w:r/>
      <w:bookmarkStart w:id="114" w:name="_Toc14577354"/>
      <w:r/>
      <w:bookmarkStart w:id="115" w:name="_Toc49090507"/>
      <w:r/>
      <w:bookmarkStart w:id="116" w:name="_Toc49090508"/>
      <w:r/>
      <w:bookmarkStart w:id="117" w:name="_Toc14577355"/>
      <w:r>
        <w:rPr>
          <w:rFonts w:hint="eastAsia" w:ascii="宋体" w:hAnsi="宋体"/>
          <w:b/>
          <w:color w:val="000000" w:themeColor="text1"/>
          <w:sz w:val="24"/>
          <w:szCs w:val="24"/>
        </w:rPr>
        <w:t xml:space="preserve">11、证明磋商响应标的符合磋商文件规定的文件</w:t>
      </w:r>
      <w:bookmarkEnd w:id="110"/>
      <w:r/>
      <w:bookmarkEnd w:id="111"/>
      <w:r/>
      <w:bookmarkEnd w:id="112"/>
      <w:r/>
      <w:bookmarkEnd w:id="113"/>
      <w:r/>
      <w:bookmarkEnd w:id="114"/>
      <w:r/>
      <w:bookmarkEnd w:id="11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11.1供应商应按照磋商文件要求提交证明文件，证明其及磋商响应标的符合磋商文件规定。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11.2磋商文件对证明文件无明确形式要求的，证明文件可以以文字资料、图纸和数据等形式提交。</w:t>
      </w:r>
      <w:bookmarkEnd w:id="116"/>
      <w:r/>
      <w:bookmarkEnd w:id="117"/>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12、分项报价表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12.1供应商应按照磋商文件规定格式填报分项报价表。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12.2磋商货币。响应文件中的单价和总价无特殊规定的采用人民币报价，以元为单位标注。磋商文件中另有规定的按规定执行。</w:t>
      </w:r>
      <w:r/>
    </w:p>
    <w:p>
      <w:pPr>
        <w:ind w:firstLine="482"/>
        <w:spacing w:line="360" w:lineRule="auto"/>
        <w:rPr>
          <w:rFonts w:ascii="宋体" w:hAnsi="宋体"/>
          <w:b/>
          <w:color w:val="000000" w:themeColor="text1"/>
          <w:sz w:val="24"/>
          <w:szCs w:val="24"/>
        </w:rPr>
      </w:pPr>
      <w:r/>
      <w:bookmarkStart w:id="118" w:name="_Hlt26670482"/>
      <w:r/>
      <w:bookmarkEnd w:id="118"/>
      <w:r/>
      <w:bookmarkStart w:id="119" w:name="_Hlt26954848"/>
      <w:r/>
      <w:bookmarkEnd w:id="119"/>
      <w:r/>
      <w:bookmarkStart w:id="120" w:name="_Hlt26670486"/>
      <w:r/>
      <w:bookmarkEnd w:id="120"/>
      <w:r/>
      <w:bookmarkStart w:id="121" w:name="_Hlt26954846"/>
      <w:r/>
      <w:bookmarkEnd w:id="121"/>
      <w:r/>
      <w:bookmarkStart w:id="122" w:name="_Hlt26954731"/>
      <w:r/>
      <w:bookmarkEnd w:id="122"/>
      <w:r>
        <w:rPr>
          <w:rFonts w:hint="eastAsia" w:ascii="宋体" w:hAnsi="宋体"/>
          <w:b/>
          <w:color w:val="000000" w:themeColor="text1"/>
          <w:sz w:val="24"/>
          <w:szCs w:val="24"/>
        </w:rPr>
        <w:t xml:space="preserve">13、技术要求响应及偏离表、商务要求响应及偏离表</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供应商需对磋商文件中的技术要求与商务要求逐项作出响应或偏离，并说明原因。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13.2供应商可在响应文件中提供认为需要的其他技术文件或说明。</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14、服务承诺、培训计划、人员安排及其他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14.2供应商需根据磋商文件要求提供培训计划。</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14.3供应商需根据磋商文件要求提供磋商响应标的的主要组成部分、功能设计、实现思路及关键技术等。</w:t>
      </w:r>
      <w:r/>
    </w:p>
    <w:p>
      <w:pPr>
        <w:ind w:firstLine="482"/>
        <w:spacing w:line="360" w:lineRule="auto"/>
        <w:rPr>
          <w:rFonts w:ascii="宋体" w:hAnsi="宋体"/>
          <w:b/>
          <w:color w:val="000000" w:themeColor="text1"/>
          <w:sz w:val="24"/>
          <w:szCs w:val="24"/>
        </w:rPr>
      </w:pPr>
      <w:r/>
      <w:bookmarkStart w:id="123" w:name="_Toc49090510"/>
      <w:r/>
      <w:bookmarkStart w:id="124" w:name="_Toc14577359"/>
      <w:r>
        <w:rPr>
          <w:rFonts w:hint="eastAsia" w:ascii="宋体" w:hAnsi="宋体"/>
          <w:b/>
          <w:color w:val="000000" w:themeColor="text1"/>
          <w:sz w:val="24"/>
          <w:szCs w:val="24"/>
        </w:rPr>
        <w:t xml:space="preserve">15、磋商响应函</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15.1供应商应按照磋商文件中提供的格式完整、正确填写磋商响应函。</w:t>
      </w:r>
      <w:bookmarkEnd w:id="123"/>
      <w:r/>
      <w:bookmarkEnd w:id="124"/>
      <w:r/>
      <w:r/>
    </w:p>
    <w:p>
      <w:pPr>
        <w:ind w:firstLine="482"/>
        <w:spacing w:line="360" w:lineRule="auto"/>
        <w:rPr>
          <w:rFonts w:ascii="宋体" w:hAnsi="宋体"/>
          <w:b/>
          <w:color w:val="000000" w:themeColor="text1"/>
          <w:sz w:val="24"/>
          <w:szCs w:val="24"/>
        </w:rPr>
      </w:pPr>
      <w:r/>
      <w:bookmarkStart w:id="125" w:name="_Toc49090511"/>
      <w:r/>
      <w:bookmarkStart w:id="126" w:name="_Toc14577360"/>
      <w:r>
        <w:rPr>
          <w:rFonts w:hint="eastAsia" w:ascii="宋体" w:hAnsi="宋体"/>
          <w:b/>
          <w:color w:val="000000" w:themeColor="text1"/>
          <w:sz w:val="24"/>
          <w:szCs w:val="24"/>
        </w:rPr>
        <w:t xml:space="preserve">16、磋商有效期</w:t>
      </w:r>
      <w:bookmarkEnd w:id="125"/>
      <w:r/>
      <w:bookmarkEnd w:id="126"/>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16.1磋商有效期为采购人规定的提交响应文件截止之日后六十（60）天。磋商有效期比规定短的将被视为非实质性响应磋商文件而予以拒绝。</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w:t>
      </w:r>
      <w:r>
        <w:rPr>
          <w:rFonts w:ascii="宋体" w:hAnsi="宋体"/>
          <w:b/>
          <w:color w:val="000000" w:themeColor="text1"/>
          <w:sz w:val="24"/>
          <w:szCs w:val="24"/>
        </w:rPr>
        <w:t xml:space="preserve">7</w:t>
      </w:r>
      <w:r>
        <w:rPr>
          <w:rFonts w:hint="eastAsia" w:ascii="宋体" w:hAnsi="宋体"/>
          <w:b/>
          <w:color w:val="000000" w:themeColor="text1"/>
          <w:sz w:val="24"/>
          <w:szCs w:val="24"/>
        </w:rPr>
        <w:t xml:space="preserve">、磋商有效期的延长</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spacing w:line="360" w:lineRule="auto"/>
        <w:rPr>
          <w:rFonts w:ascii="宋体" w:hAnsi="宋体"/>
          <w:b/>
          <w:color w:val="000000" w:themeColor="text1"/>
          <w:sz w:val="24"/>
          <w:szCs w:val="24"/>
        </w:rPr>
      </w:pPr>
      <w:r/>
      <w:bookmarkStart w:id="127" w:name="_Hlt26954739"/>
      <w:r/>
      <w:bookmarkEnd w:id="127"/>
      <w:r/>
      <w:bookmarkStart w:id="128" w:name="_Hlt26954852"/>
      <w:r/>
      <w:bookmarkEnd w:id="128"/>
      <w:r/>
      <w:bookmarkStart w:id="129" w:name="_Toc120614217"/>
      <w:r/>
      <w:bookmarkStart w:id="130" w:name="_Toc20823296"/>
      <w:r/>
      <w:bookmarkStart w:id="131" w:name="_Toc513029224"/>
      <w:r/>
      <w:bookmarkStart w:id="132" w:name="_Toc16938540"/>
      <w:r>
        <w:rPr>
          <w:rFonts w:hint="eastAsia" w:ascii="宋体" w:hAnsi="宋体"/>
          <w:b/>
          <w:color w:val="000000" w:themeColor="text1"/>
          <w:sz w:val="24"/>
          <w:szCs w:val="24"/>
        </w:rPr>
        <w:t xml:space="preserve">四、响应文件的递交</w:t>
      </w:r>
      <w:bookmarkEnd w:id="129"/>
      <w:r/>
      <w:bookmarkEnd w:id="130"/>
      <w:r/>
      <w:bookmarkEnd w:id="131"/>
      <w:r/>
      <w:bookmarkEnd w:id="132"/>
      <w:r/>
      <w:r/>
    </w:p>
    <w:p>
      <w:pPr>
        <w:ind w:firstLine="482"/>
        <w:spacing w:line="360" w:lineRule="auto"/>
        <w:rPr>
          <w:rFonts w:ascii="宋体" w:hAnsi="宋体"/>
          <w:b/>
          <w:color w:val="000000" w:themeColor="text1"/>
          <w:sz w:val="24"/>
          <w:szCs w:val="24"/>
        </w:rPr>
      </w:pPr>
      <w:r/>
      <w:bookmarkStart w:id="133" w:name="_Toc513029225"/>
      <w:r/>
      <w:bookmarkStart w:id="134" w:name="_Toc462564084"/>
      <w:r/>
      <w:bookmarkStart w:id="135" w:name="_Toc16938541"/>
      <w:r/>
      <w:bookmarkStart w:id="136" w:name="_Toc20823297"/>
      <w:r>
        <w:rPr>
          <w:rFonts w:hint="eastAsia" w:ascii="宋体" w:hAnsi="宋体"/>
          <w:b/>
          <w:color w:val="000000" w:themeColor="text1"/>
          <w:sz w:val="24"/>
          <w:szCs w:val="24"/>
        </w:rPr>
        <w:t xml:space="preserve">1</w:t>
      </w:r>
      <w:r>
        <w:rPr>
          <w:rFonts w:ascii="宋体" w:hAnsi="宋体"/>
          <w:b/>
          <w:color w:val="000000" w:themeColor="text1"/>
          <w:sz w:val="24"/>
          <w:szCs w:val="24"/>
        </w:rPr>
        <w:t xml:space="preserve">8</w:t>
      </w:r>
      <w:r>
        <w:rPr>
          <w:rFonts w:hint="eastAsia" w:ascii="宋体" w:hAnsi="宋体"/>
          <w:b/>
          <w:color w:val="000000" w:themeColor="text1"/>
          <w:sz w:val="24"/>
          <w:szCs w:val="24"/>
        </w:rPr>
        <w:t xml:space="preserve">、电子磋商</w:t>
      </w:r>
      <w:bookmarkEnd w:id="133"/>
      <w:r/>
      <w:bookmarkEnd w:id="134"/>
      <w:r/>
      <w:bookmarkEnd w:id="135"/>
      <w:r/>
      <w:bookmarkEnd w:id="136"/>
      <w:r>
        <w:rPr>
          <w:rFonts w:hint="eastAsia" w:ascii="宋体" w:hAnsi="宋体"/>
          <w:b/>
          <w:color w:val="000000" w:themeColor="text1"/>
          <w:sz w:val="24"/>
          <w:szCs w:val="24"/>
        </w:rPr>
        <w:t xml:space="preserve">响应文件的递交</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18.1供应商应当按照《操作手册》规定，在提交响应文件截止时间前</w:t>
      </w:r>
      <w:r>
        <w:rPr>
          <w:rFonts w:ascii="宋体" w:hAnsi="宋体"/>
          <w:color w:val="000000" w:themeColor="text1"/>
          <w:sz w:val="24"/>
          <w:szCs w:val="24"/>
        </w:rPr>
        <w:t xml:space="preserve">制作</w:t>
      </w:r>
      <w:r>
        <w:rPr>
          <w:rFonts w:hint="eastAsia" w:ascii="宋体" w:hAnsi="宋体"/>
          <w:color w:val="000000" w:themeColor="text1"/>
          <w:sz w:val="24"/>
          <w:szCs w:val="24"/>
        </w:rPr>
        <w:t xml:space="preserve">并上传电子响应文件。</w:t>
      </w:r>
      <w:bookmarkStart w:id="137" w:name="_Toc513029226"/>
      <w:r/>
      <w:bookmarkStart w:id="138" w:name="_Toc20823298"/>
      <w:r/>
      <w:bookmarkStart w:id="139" w:name="_Toc16938542"/>
      <w:r/>
      <w:r/>
    </w:p>
    <w:p>
      <w:pPr>
        <w:ind w:firstLine="482"/>
        <w:spacing w:line="360" w:lineRule="auto"/>
        <w:rPr>
          <w:rFonts w:ascii="宋体" w:hAnsi="宋体"/>
          <w:b/>
          <w:color w:val="000000" w:themeColor="text1"/>
          <w:sz w:val="24"/>
          <w:szCs w:val="24"/>
        </w:rPr>
      </w:pPr>
      <w:r>
        <w:rPr>
          <w:rFonts w:ascii="宋体" w:hAnsi="宋体"/>
          <w:b/>
          <w:color w:val="000000" w:themeColor="text1"/>
          <w:sz w:val="24"/>
          <w:szCs w:val="24"/>
        </w:rPr>
        <w:t xml:space="preserve">19</w:t>
      </w:r>
      <w:r>
        <w:rPr>
          <w:rFonts w:hint="eastAsia" w:ascii="宋体" w:hAnsi="宋体"/>
          <w:b/>
          <w:color w:val="000000" w:themeColor="text1"/>
          <w:sz w:val="24"/>
          <w:szCs w:val="24"/>
        </w:rPr>
        <w:t xml:space="preserve">、提交响应文件截止时间</w:t>
      </w:r>
      <w:bookmarkEnd w:id="137"/>
      <w:r/>
      <w:bookmarkEnd w:id="138"/>
      <w:r/>
      <w:bookmarkEnd w:id="139"/>
      <w:r/>
      <w:r/>
    </w:p>
    <w:p>
      <w:pPr>
        <w:ind w:firstLine="482"/>
        <w:spacing w:line="360" w:lineRule="auto"/>
        <w:rPr>
          <w:rFonts w:ascii="宋体" w:hAnsi="宋体"/>
          <w:b/>
          <w:color w:val="000000" w:themeColor="text1"/>
          <w:sz w:val="24"/>
          <w:szCs w:val="24"/>
        </w:rPr>
      </w:pPr>
      <w:r>
        <w:rPr>
          <w:rFonts w:ascii="宋体" w:hAnsi="宋体"/>
          <w:b/>
          <w:color w:val="000000" w:themeColor="text1"/>
          <w:sz w:val="24"/>
          <w:szCs w:val="24"/>
        </w:rPr>
        <w:t xml:space="preserve">19</w:t>
      </w:r>
      <w:r>
        <w:rPr>
          <w:rFonts w:hint="eastAsia" w:ascii="宋体" w:hAnsi="宋体"/>
          <w:b/>
          <w:color w:val="000000" w:themeColor="text1"/>
          <w:sz w:val="24"/>
          <w:szCs w:val="24"/>
        </w:rPr>
        <w:t xml:space="preserve">.1供应商上传电子响应文件的时间不得迟于磋商公告中规定的提交响应文件截止时间。</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.2 采购人可以按照规定，通过修改磋商文件酌情延长提交响应文件截止日期，在此情况下，供应商的所有权利和义务以及供应商受制的截止日期均应以延长后新的截止日期为准。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ascii="宋体" w:hAnsi="宋体"/>
          <w:b/>
          <w:color w:val="000000" w:themeColor="text1"/>
          <w:sz w:val="24"/>
          <w:szCs w:val="24"/>
        </w:rPr>
      </w:pPr>
      <w:r/>
      <w:bookmarkStart w:id="140" w:name="_Toc513029227"/>
      <w:r/>
      <w:bookmarkStart w:id="141" w:name="_Toc20823299"/>
      <w:r/>
      <w:bookmarkStart w:id="142" w:name="_Toc16938543"/>
      <w:r>
        <w:rPr>
          <w:rFonts w:hint="eastAsia" w:ascii="宋体" w:hAnsi="宋体"/>
          <w:b/>
          <w:color w:val="000000" w:themeColor="text1"/>
          <w:sz w:val="24"/>
          <w:szCs w:val="24"/>
        </w:rPr>
        <w:t xml:space="preserve">2</w:t>
      </w:r>
      <w:r>
        <w:rPr>
          <w:rFonts w:ascii="宋体" w:hAnsi="宋体"/>
          <w:b/>
          <w:color w:val="000000" w:themeColor="text1"/>
          <w:sz w:val="24"/>
          <w:szCs w:val="24"/>
        </w:rPr>
        <w:t xml:space="preserve">0</w:t>
      </w:r>
      <w:r>
        <w:rPr>
          <w:rFonts w:hint="eastAsia" w:ascii="宋体" w:hAnsi="宋体"/>
          <w:b/>
          <w:color w:val="000000" w:themeColor="text1"/>
          <w:sz w:val="24"/>
          <w:szCs w:val="24"/>
        </w:rPr>
        <w:t xml:space="preserve">、响应文件</w:t>
      </w:r>
      <w:bookmarkEnd w:id="140"/>
      <w:r/>
      <w:bookmarkEnd w:id="141"/>
      <w:r/>
      <w:bookmarkEnd w:id="142"/>
      <w:r>
        <w:rPr>
          <w:rFonts w:hint="eastAsia" w:ascii="宋体" w:hAnsi="宋体"/>
          <w:b/>
          <w:color w:val="000000" w:themeColor="text1"/>
          <w:sz w:val="24"/>
          <w:szCs w:val="24"/>
        </w:rPr>
        <w:t xml:space="preserve">的拒收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20.1 采购人拒绝接收在其规定的提交响应文件截止时间后上传的任何电子响应文件。</w:t>
      </w:r>
      <w:r/>
    </w:p>
    <w:p>
      <w:pPr>
        <w:ind w:firstLine="482"/>
        <w:spacing w:line="360" w:lineRule="auto"/>
        <w:rPr>
          <w:rFonts w:ascii="宋体" w:hAnsi="宋体"/>
          <w:b/>
          <w:color w:val="000000" w:themeColor="text1"/>
          <w:sz w:val="24"/>
          <w:szCs w:val="24"/>
        </w:rPr>
      </w:pPr>
      <w:r/>
      <w:bookmarkStart w:id="143" w:name="_Toc16938544"/>
      <w:r/>
      <w:bookmarkStart w:id="144" w:name="_Toc20823300"/>
      <w:r/>
      <w:bookmarkStart w:id="145" w:name="_Toc513029228"/>
      <w:r>
        <w:rPr>
          <w:rFonts w:hint="eastAsia" w:ascii="宋体" w:hAnsi="宋体"/>
          <w:b/>
          <w:color w:val="000000" w:themeColor="text1"/>
          <w:sz w:val="24"/>
          <w:szCs w:val="24"/>
        </w:rPr>
        <w:t xml:space="preserve">2</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、响应文件的撤回和修改</w:t>
      </w:r>
      <w:bookmarkEnd w:id="143"/>
      <w:r/>
      <w:bookmarkEnd w:id="144"/>
      <w:r/>
      <w:bookmarkEnd w:id="14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.1响应文件的撤回</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.1.1 电子响应文件的撤回</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供应商可在提交响应文件截止时间前，撤回其电子响应文件，具体操作方法见《操作手册》。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供应商撤回电子响应文件，则认为其不再参与本项目磋商活动。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.2响应文件的修改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供应商可在提交响应文件截止时间前，对其电子响应文件进行修改，具体操作方法见《操作手册》。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.3 在提交响应文件截止时间之后，供应商不得对其电子响应文件作任何修改。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 在提交响应文件截止时间至磋商文件中规定的磋商有效期满之间的这段时间内，供应商不得撤回其响应文件。</w:t>
      </w:r>
      <w:r/>
    </w:p>
    <w:p>
      <w:pPr>
        <w:ind w:firstLine="482"/>
        <w:spacing w:line="360" w:lineRule="auto"/>
        <w:rPr>
          <w:rFonts w:ascii="宋体" w:hAnsi="宋体"/>
          <w:b/>
          <w:color w:val="000000" w:themeColor="text1"/>
          <w:sz w:val="24"/>
          <w:szCs w:val="24"/>
        </w:rPr>
      </w:pPr>
      <w:r/>
      <w:bookmarkStart w:id="146" w:name="_Toc20823301"/>
      <w:r/>
      <w:bookmarkStart w:id="147" w:name="_Toc120614218"/>
      <w:r/>
      <w:bookmarkStart w:id="148" w:name="_Toc513029229"/>
      <w:r/>
      <w:bookmarkStart w:id="149" w:name="_Toc16938545"/>
      <w:r>
        <w:rPr>
          <w:rFonts w:hint="eastAsia" w:ascii="宋体" w:hAnsi="宋体"/>
          <w:b/>
          <w:color w:val="000000" w:themeColor="text1"/>
          <w:sz w:val="24"/>
          <w:szCs w:val="24"/>
        </w:rPr>
        <w:t xml:space="preserve">五、响应文件的解密与评审</w:t>
      </w:r>
      <w:bookmarkEnd w:id="146"/>
      <w:r/>
      <w:bookmarkEnd w:id="147"/>
      <w:r/>
      <w:bookmarkEnd w:id="148"/>
      <w:r/>
      <w:bookmarkEnd w:id="149"/>
      <w:r/>
      <w:r/>
    </w:p>
    <w:p>
      <w:pPr>
        <w:ind w:firstLine="482"/>
        <w:spacing w:line="360" w:lineRule="auto"/>
        <w:rPr>
          <w:rFonts w:ascii="宋体" w:hAnsi="宋体"/>
          <w:b/>
          <w:color w:val="000000" w:themeColor="text1"/>
          <w:sz w:val="24"/>
          <w:szCs w:val="24"/>
        </w:rPr>
      </w:pPr>
      <w:r/>
      <w:bookmarkStart w:id="150" w:name="_Toc20823302"/>
      <w:r/>
      <w:bookmarkStart w:id="151" w:name="_Toc513029230"/>
      <w:r/>
      <w:bookmarkStart w:id="152" w:name="_Toc16938546"/>
      <w:r>
        <w:rPr>
          <w:rFonts w:hint="eastAsia" w:ascii="宋体" w:hAnsi="宋体"/>
          <w:b/>
          <w:color w:val="000000" w:themeColor="text1"/>
          <w:sz w:val="24"/>
          <w:szCs w:val="24"/>
        </w:rPr>
        <w:t xml:space="preserve">22、</w:t>
      </w:r>
      <w:bookmarkEnd w:id="150"/>
      <w:r/>
      <w:bookmarkEnd w:id="151"/>
      <w:r/>
      <w:bookmarkEnd w:id="152"/>
      <w:r>
        <w:rPr>
          <w:rFonts w:hint="eastAsia" w:ascii="宋体" w:hAnsi="宋体"/>
          <w:b/>
          <w:color w:val="000000" w:themeColor="text1"/>
          <w:sz w:val="24"/>
          <w:szCs w:val="24"/>
        </w:rPr>
        <w:t xml:space="preserve">响应文件解密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.1供应商应当按照《操作手册》规定，在苏采云系统规定的时间内对磋商响应文件进行解密。</w:t>
      </w:r>
      <w:r/>
    </w:p>
    <w:p>
      <w:pPr>
        <w:ind w:firstLine="482"/>
        <w:spacing w:line="360" w:lineRule="auto"/>
        <w:rPr>
          <w:rFonts w:ascii="宋体" w:hAnsi="宋体"/>
          <w:b/>
          <w:color w:val="000000" w:themeColor="text1"/>
          <w:sz w:val="24"/>
          <w:szCs w:val="24"/>
        </w:rPr>
      </w:pPr>
      <w:r/>
      <w:bookmarkStart w:id="153" w:name="_Toc513029231"/>
      <w:r/>
      <w:bookmarkStart w:id="154" w:name="_Toc20823303"/>
      <w:r/>
      <w:bookmarkStart w:id="155" w:name="_Toc16938547"/>
      <w:r>
        <w:rPr>
          <w:rFonts w:hint="eastAsia" w:ascii="宋体" w:hAnsi="宋体"/>
          <w:b/>
          <w:color w:val="000000" w:themeColor="text1"/>
          <w:sz w:val="24"/>
          <w:szCs w:val="24"/>
        </w:rPr>
        <w:t xml:space="preserve">2</w:t>
      </w:r>
      <w:r>
        <w:rPr>
          <w:rFonts w:ascii="宋体" w:hAnsi="宋体"/>
          <w:b/>
          <w:color w:val="000000" w:themeColor="text1"/>
          <w:sz w:val="24"/>
          <w:szCs w:val="24"/>
        </w:rPr>
        <w:t xml:space="preserve">3</w:t>
      </w:r>
      <w:r>
        <w:rPr>
          <w:rFonts w:hint="eastAsia" w:ascii="宋体" w:hAnsi="宋体"/>
          <w:b/>
          <w:color w:val="000000" w:themeColor="text1"/>
          <w:sz w:val="24"/>
          <w:szCs w:val="24"/>
        </w:rPr>
        <w:t xml:space="preserve">、磋商小组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.2磋商小组独立工作，负责评审所有响应文件并确定成交候选人。</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w:t>
      </w:r>
      <w:r>
        <w:rPr>
          <w:rFonts w:ascii="宋体" w:hAnsi="宋体"/>
          <w:b/>
          <w:color w:val="000000" w:themeColor="text1"/>
          <w:sz w:val="24"/>
          <w:szCs w:val="24"/>
        </w:rPr>
        <w:t xml:space="preserve">4</w:t>
      </w:r>
      <w:r>
        <w:rPr>
          <w:rFonts w:hint="eastAsia" w:ascii="宋体" w:hAnsi="宋体"/>
          <w:b/>
          <w:color w:val="000000" w:themeColor="text1"/>
          <w:sz w:val="24"/>
          <w:szCs w:val="24"/>
        </w:rPr>
        <w:t xml:space="preserve">、评审过程的保密与公正</w:t>
      </w:r>
      <w:bookmarkEnd w:id="153"/>
      <w:r/>
      <w:bookmarkEnd w:id="154"/>
      <w:r/>
      <w:bookmarkEnd w:id="155"/>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.1磋商小组、采购人和采购人工作人员、相关监督人员等与评审工作有关的人员，对评审情况以及在评审过程中获悉的国家秘密、商业秘密负有保密责任。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.2在评审过程中，供应商不得以任何行为影响磋商评审过程，否则其响应文件将被作为无效响应文件。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.3在项目评审期间，采购人将设专门人员与供应商联系。</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24</w:t>
      </w:r>
      <w:r>
        <w:rPr>
          <w:rFonts w:hint="eastAsia" w:ascii="宋体" w:hAnsi="宋体"/>
          <w:color w:val="000000" w:themeColor="text1"/>
          <w:sz w:val="24"/>
          <w:szCs w:val="24"/>
        </w:rPr>
        <w:t xml:space="preserve">.4 采购人和磋商小组不向未成交的供应商解释未成交原因，也不公布评审过程中的相关细节。</w:t>
      </w:r>
      <w:r/>
    </w:p>
    <w:p>
      <w:pPr>
        <w:ind w:firstLine="482"/>
        <w:spacing w:line="360" w:lineRule="auto"/>
        <w:rPr>
          <w:rFonts w:ascii="宋体" w:hAnsi="宋体"/>
          <w:b/>
          <w:color w:val="000000" w:themeColor="text1"/>
          <w:sz w:val="24"/>
          <w:szCs w:val="24"/>
        </w:rPr>
      </w:pPr>
      <w:r/>
      <w:bookmarkStart w:id="156" w:name="_Toc513029232"/>
      <w:r/>
      <w:bookmarkStart w:id="157" w:name="_Toc16938548"/>
      <w:r/>
      <w:bookmarkStart w:id="158" w:name="_Toc20823304"/>
      <w:r>
        <w:rPr>
          <w:rFonts w:hint="eastAsia" w:ascii="宋体" w:hAnsi="宋体"/>
          <w:b/>
          <w:color w:val="000000" w:themeColor="text1"/>
          <w:sz w:val="24"/>
          <w:szCs w:val="24"/>
        </w:rPr>
        <w:t xml:space="preserve">2</w:t>
      </w:r>
      <w:r>
        <w:rPr>
          <w:rFonts w:ascii="宋体" w:hAnsi="宋体"/>
          <w:b/>
          <w:color w:val="000000" w:themeColor="text1"/>
          <w:sz w:val="24"/>
          <w:szCs w:val="24"/>
        </w:rPr>
        <w:t xml:space="preserve">5</w:t>
      </w:r>
      <w:r>
        <w:rPr>
          <w:rFonts w:hint="eastAsia" w:ascii="宋体" w:hAnsi="宋体"/>
          <w:b/>
          <w:color w:val="000000" w:themeColor="text1"/>
          <w:sz w:val="24"/>
          <w:szCs w:val="24"/>
        </w:rPr>
        <w:t xml:space="preserve">、评审过程中的澄清</w:t>
      </w:r>
      <w:bookmarkEnd w:id="156"/>
      <w:r/>
      <w:bookmarkEnd w:id="157"/>
      <w:r/>
      <w:bookmarkEnd w:id="158"/>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磋商小组并非对每个供应商都作澄清要求。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rPr>
        <w:t xml:space="preserve">操作</w:t>
      </w:r>
      <w:r>
        <w:rPr>
          <w:rFonts w:hint="eastAsia" w:ascii="宋体" w:hAnsi="宋体"/>
          <w:color w:val="000000" w:themeColor="text1"/>
          <w:sz w:val="24"/>
          <w:szCs w:val="24"/>
        </w:rPr>
        <w:t xml:space="preserve">方式</w:t>
      </w:r>
      <w:r>
        <w:rPr>
          <w:rFonts w:ascii="宋体" w:hAnsi="宋体"/>
          <w:color w:val="000000" w:themeColor="text1"/>
          <w:sz w:val="24"/>
          <w:szCs w:val="24"/>
        </w:rPr>
        <w:t xml:space="preserve">见</w:t>
      </w:r>
      <w:r>
        <w:rPr>
          <w:rFonts w:hint="eastAsia" w:ascii="宋体" w:hAnsi="宋体"/>
          <w:color w:val="000000" w:themeColor="text1"/>
          <w:sz w:val="24"/>
          <w:szCs w:val="24"/>
        </w:rPr>
        <w:t xml:space="preserve">《操作手册》。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.3 接到磋商小组澄清、说明和更正要求的供应商如未按规定做出澄清、说明和更正，其风险由供应商自行承担。</w:t>
      </w:r>
      <w:r/>
    </w:p>
    <w:p>
      <w:pPr>
        <w:ind w:firstLine="482"/>
        <w:spacing w:line="360" w:lineRule="auto"/>
        <w:rPr>
          <w:rFonts w:ascii="宋体" w:hAnsi="宋体"/>
          <w:b/>
          <w:color w:val="000000" w:themeColor="text1"/>
          <w:sz w:val="24"/>
          <w:szCs w:val="24"/>
        </w:rPr>
      </w:pPr>
      <w:r/>
      <w:bookmarkStart w:id="159" w:name="_Toc20823305"/>
      <w:r/>
      <w:bookmarkStart w:id="160" w:name="_Toc16938549"/>
      <w:r/>
      <w:bookmarkStart w:id="161" w:name="_Toc513029233"/>
      <w:r>
        <w:rPr>
          <w:rFonts w:hint="eastAsia" w:ascii="宋体" w:hAnsi="宋体"/>
          <w:b/>
          <w:color w:val="000000" w:themeColor="text1"/>
          <w:sz w:val="24"/>
          <w:szCs w:val="24"/>
        </w:rPr>
        <w:t xml:space="preserve">2</w:t>
      </w:r>
      <w:r>
        <w:rPr>
          <w:rFonts w:ascii="宋体" w:hAnsi="宋体"/>
          <w:b/>
          <w:color w:val="000000" w:themeColor="text1"/>
          <w:sz w:val="24"/>
          <w:szCs w:val="24"/>
        </w:rPr>
        <w:t xml:space="preserve">6</w:t>
      </w:r>
      <w:r>
        <w:rPr>
          <w:rFonts w:hint="eastAsia" w:ascii="宋体" w:hAnsi="宋体"/>
          <w:b/>
          <w:color w:val="000000" w:themeColor="text1"/>
          <w:sz w:val="24"/>
          <w:szCs w:val="24"/>
        </w:rPr>
        <w:t xml:space="preserve">、对响应文件的审</w:t>
      </w:r>
      <w:bookmarkEnd w:id="159"/>
      <w:r/>
      <w:bookmarkEnd w:id="160"/>
      <w:r/>
      <w:bookmarkEnd w:id="161"/>
      <w:r>
        <w:rPr>
          <w:rFonts w:hint="eastAsia" w:ascii="宋体" w:hAnsi="宋体"/>
          <w:b/>
          <w:color w:val="000000" w:themeColor="text1"/>
          <w:sz w:val="24"/>
          <w:szCs w:val="24"/>
        </w:rPr>
        <w:t xml:space="preserve">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.1响应文件审查分为资格审查和符合性审查。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.1.1 资格审查：由采购人依据法律法规和磋商文件的规定，对响应文件中的资格证明文件进行审查，以确定供应商是否具备参加磋商的资格。</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采购人在进行资格审查的同时，将在“信用中国”网站查询供应商的信用记录，以确定供应商是否具备磋商资格,查询结果留存并归档。</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26.3未实质性响应磋商文件的情形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26.3.1供应商在苏采云系统规定的时间内未成功解密电子响应文件的。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26.3.2供应商未按照磋商文件要求上传电子响应文件的。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26.3.3同一供应商提交两个（含两个）以上不同的响应文件或者最后报价的。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26.3.4供应商不具备磋商文件中规定资格要求的。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26.3.5供应商的最后报价超过了采购预算或最高限价。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26.3.6不符合磋商文件中规定的实质性要求和条件的。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26.3.8响应文件含有采购人不能接受的附加条件的。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26.3.10响应文件未按照磋商文件要求加盖CA电子公章的。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26.4未实质性响应磋商文件的响应文件按无效响应处理。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26.6磋商小组将对确定为实质性响应的文件进行进一步审核，看其是否有计算上或累加上的算术错误，修正错误的原则如下：</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（1）响应文件中报价总表内容与响应文件中相应内容不一致的，以报价总表为准。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（2）大写金额和小写金额不一致的，以大写金额为准。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（3）单价金额小数点或者百分比有明显错位的，以报价总表的总价为准，并修改单价。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（4）总价金额与按单价汇总金额不一致的，以单价金额计算结果为准。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同时出现两种以上错误的，按照前款规定的顺序修正。</w:t>
      </w:r>
      <w:r/>
    </w:p>
    <w:p>
      <w:pPr>
        <w:ind w:firstLine="480"/>
        <w:spacing w:line="360" w:lineRule="auto"/>
        <w:rPr>
          <w:rFonts w:ascii="宋体" w:hAnsi="宋体"/>
          <w:color w:val="000000" w:themeColor="text1"/>
          <w:sz w:val="24"/>
          <w:szCs w:val="24"/>
        </w:rPr>
      </w:pPr>
      <w:r/>
      <w:bookmarkStart w:id="162" w:name="_Toc16938550"/>
      <w:r/>
      <w:bookmarkStart w:id="163" w:name="_Toc20823306"/>
      <w:r/>
      <w:bookmarkStart w:id="164" w:name="_Toc513029234"/>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.7供应商在项目评审全过程中应保持通讯畅通，并安排专人与采购人及磋商小组联系。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w:t>
      </w:r>
      <w:bookmarkEnd w:id="162"/>
      <w:r/>
      <w:bookmarkEnd w:id="163"/>
      <w:r/>
      <w:bookmarkEnd w:id="164"/>
      <w:r>
        <w:rPr>
          <w:rFonts w:hint="eastAsia" w:ascii="宋体" w:hAnsi="宋体"/>
          <w:color w:val="000000" w:themeColor="text1"/>
          <w:sz w:val="24"/>
          <w:szCs w:val="24"/>
        </w:rPr>
        <w:t xml:space="preserve">磋商程序及评审方法和评审标准</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27.1磋商程序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27.1.2</w:t>
      </w:r>
      <w:r>
        <w:rPr>
          <w:rFonts w:ascii="宋体" w:hAnsi="宋体"/>
          <w:color w:val="000000" w:themeColor="text1"/>
          <w:sz w:val="24"/>
          <w:szCs w:val="24"/>
        </w:rPr>
        <w:t xml:space="preserve">磋商文件能够详细列明采购标的的技术、服务要求的，磋商结束后，磋商小组</w:t>
      </w:r>
      <w:r>
        <w:rPr>
          <w:rFonts w:hint="eastAsia" w:ascii="宋体" w:hAnsi="宋体"/>
          <w:color w:val="000000" w:themeColor="text1"/>
          <w:sz w:val="24"/>
          <w:szCs w:val="24"/>
        </w:rPr>
        <w:t xml:space="preserve">将在苏采云系统向所有</w:t>
      </w:r>
      <w:r>
        <w:rPr>
          <w:rFonts w:ascii="宋体" w:hAnsi="宋体"/>
          <w:color w:val="000000" w:themeColor="text1"/>
          <w:sz w:val="24"/>
          <w:szCs w:val="24"/>
        </w:rPr>
        <w:t xml:space="preserve">实质性响应的供应商</w:t>
      </w:r>
      <w:r>
        <w:rPr>
          <w:rFonts w:hint="eastAsia" w:ascii="宋体" w:hAnsi="宋体"/>
          <w:color w:val="000000" w:themeColor="text1"/>
          <w:sz w:val="24"/>
          <w:szCs w:val="24"/>
        </w:rPr>
        <w:t xml:space="preserve">发布“最后报价要求函”及最后报价格式表，</w:t>
      </w:r>
      <w:r>
        <w:rPr>
          <w:rFonts w:ascii="宋体" w:hAnsi="宋体"/>
          <w:color w:val="000000" w:themeColor="text1"/>
          <w:sz w:val="24"/>
          <w:szCs w:val="24"/>
        </w:rPr>
        <w:t xml:space="preserve">要求所有实质性响应的供应商在规定时间内提交最后报价。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rPr>
        <w:t xml:space="preserve">已提交响应文件的供应商，在提交最后报价之前，可以根据磋商情况退出磋商</w:t>
      </w:r>
      <w:r>
        <w:rPr>
          <w:rFonts w:hint="eastAsia" w:ascii="宋体" w:hAnsi="宋体"/>
          <w:color w:val="000000" w:themeColor="text1"/>
          <w:sz w:val="24"/>
          <w:szCs w:val="24"/>
        </w:rPr>
        <w:t xml:space="preserve">，并在苏采云系统中提交“退出磋商函”并加盖CA电子公章</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 评审方法和评审标准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27.2.2评审标准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见本磋商文件第四章规定。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27.3采购活动终止的情况</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出现下列情形之一的，本次竞争性磋商采购活动将被终止：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27.3.1因情况变化，不再符合规定的竞争性磋商采购方式适用情形的。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27.3.2出现影响采购公正的违法、违规行为的。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27.3.4在苏采云系统规定时间内成功解密电子响应文件的供应商不足3家的。</w:t>
      </w:r>
      <w:r/>
    </w:p>
    <w:p>
      <w:pPr>
        <w:ind w:firstLine="482"/>
        <w:spacing w:line="360" w:lineRule="auto"/>
        <w:rPr>
          <w:rFonts w:ascii="宋体" w:hAnsi="宋体"/>
          <w:b/>
          <w:color w:val="000000" w:themeColor="text1"/>
          <w:sz w:val="24"/>
          <w:szCs w:val="24"/>
        </w:rPr>
      </w:pPr>
      <w:r/>
      <w:bookmarkStart w:id="165" w:name="_Toc513029235"/>
      <w:r/>
      <w:bookmarkStart w:id="166" w:name="_Toc120614219"/>
      <w:r/>
      <w:bookmarkStart w:id="167" w:name="_Toc16938551"/>
      <w:r/>
      <w:bookmarkStart w:id="168" w:name="_Toc20823307"/>
      <w:r>
        <w:rPr>
          <w:rFonts w:hint="eastAsia" w:ascii="宋体" w:hAnsi="宋体"/>
          <w:b/>
          <w:color w:val="000000" w:themeColor="text1"/>
          <w:sz w:val="24"/>
          <w:szCs w:val="24"/>
        </w:rPr>
        <w:t xml:space="preserve">六、</w:t>
      </w:r>
      <w:bookmarkEnd w:id="165"/>
      <w:r/>
      <w:bookmarkEnd w:id="166"/>
      <w:r/>
      <w:bookmarkEnd w:id="167"/>
      <w:r/>
      <w:bookmarkEnd w:id="168"/>
      <w:r>
        <w:rPr>
          <w:rFonts w:hint="eastAsia" w:ascii="宋体" w:hAnsi="宋体"/>
          <w:b/>
          <w:color w:val="000000" w:themeColor="text1"/>
          <w:sz w:val="24"/>
          <w:szCs w:val="24"/>
        </w:rPr>
        <w:t xml:space="preserve">成交</w:t>
      </w:r>
      <w:r/>
    </w:p>
    <w:p>
      <w:pPr>
        <w:ind w:firstLine="482"/>
        <w:spacing w:line="360" w:lineRule="auto"/>
        <w:rPr>
          <w:rFonts w:ascii="宋体" w:hAnsi="宋体"/>
          <w:b/>
          <w:color w:val="000000" w:themeColor="text1"/>
          <w:sz w:val="24"/>
          <w:szCs w:val="24"/>
        </w:rPr>
      </w:pPr>
      <w:r/>
      <w:bookmarkStart w:id="169" w:name="_Toc513029238"/>
      <w:r/>
      <w:bookmarkStart w:id="170" w:name="_Toc16938554"/>
      <w:r/>
      <w:bookmarkStart w:id="171" w:name="_Toc20823310"/>
      <w:r>
        <w:rPr>
          <w:rFonts w:hint="eastAsia" w:ascii="宋体" w:hAnsi="宋体"/>
          <w:b/>
          <w:color w:val="000000" w:themeColor="text1"/>
          <w:sz w:val="24"/>
          <w:szCs w:val="24"/>
        </w:rPr>
        <w:t xml:space="preserve">2</w:t>
      </w:r>
      <w:r>
        <w:rPr>
          <w:rFonts w:ascii="宋体" w:hAnsi="宋体"/>
          <w:b/>
          <w:color w:val="000000" w:themeColor="text1"/>
          <w:sz w:val="24"/>
          <w:szCs w:val="24"/>
        </w:rPr>
        <w:t xml:space="preserve">8</w:t>
      </w:r>
      <w:r>
        <w:rPr>
          <w:rFonts w:hint="eastAsia" w:ascii="宋体" w:hAnsi="宋体"/>
          <w:b/>
          <w:color w:val="000000" w:themeColor="text1"/>
          <w:sz w:val="24"/>
          <w:szCs w:val="24"/>
        </w:rPr>
        <w:t xml:space="preserve">、</w:t>
      </w:r>
      <w:bookmarkEnd w:id="169"/>
      <w:r>
        <w:rPr>
          <w:rFonts w:hint="eastAsia" w:ascii="宋体" w:hAnsi="宋体"/>
          <w:b/>
          <w:color w:val="000000" w:themeColor="text1"/>
          <w:sz w:val="24"/>
          <w:szCs w:val="24"/>
        </w:rPr>
        <w:t xml:space="preserve">确定</w:t>
      </w:r>
      <w:bookmarkEnd w:id="170"/>
      <w:r/>
      <w:bookmarkEnd w:id="171"/>
      <w:r>
        <w:rPr>
          <w:rFonts w:hint="eastAsia" w:ascii="宋体" w:hAnsi="宋体"/>
          <w:b/>
          <w:color w:val="000000" w:themeColor="text1"/>
          <w:sz w:val="24"/>
          <w:szCs w:val="24"/>
        </w:rPr>
        <w:t xml:space="preserve">成交单位</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.2采购人应根据磋商小组推荐的成交候选供应商确定成交供应商。采购人确定成交供应商后，采购人将在“江苏政府采购网”发布成交结果公告，公告期限为1个工作日。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28.3若有充分证据证明，成交供应商出现下列情况之一的，一经查实，将被取消成交资格：</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28.3.1提供虚假材料谋取成交的。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28.3.2与评审专家、采购人、其他供应商或者采购人工作人员恶意串通的。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28.3.3向评审专家、采购人或采购人工作人员行贿或者提供其他不正当利益的。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28.3.4恶意竞争，最后报价明显低于其自身合理成本且又无法提供证明的。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28.3.5不满足本磋商文件规定的实质性要求，但在评审过程中又未被磋商小组发现的。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28.3.6成交后无正当理由拒不与采购人签订政府采购合同或者未按照磋商文件确定的事项签订政府采购合同的。</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28.3.7将政府采购合同转包的。</w:t>
      </w:r>
      <w:r/>
    </w:p>
    <w:p>
      <w:pPr>
        <w:ind w:firstLine="482"/>
        <w:spacing w:line="360" w:lineRule="auto"/>
        <w:rPr>
          <w:rFonts w:ascii="宋体" w:hAnsi="宋体"/>
          <w:b/>
          <w:color w:val="000000" w:themeColor="text1"/>
          <w:sz w:val="24"/>
          <w:szCs w:val="24"/>
        </w:rPr>
      </w:pPr>
      <w:r/>
      <w:bookmarkStart w:id="172" w:name="_Toc200451960"/>
      <w:r>
        <w:rPr>
          <w:rFonts w:ascii="宋体" w:hAnsi="宋体"/>
          <w:b/>
          <w:color w:val="000000" w:themeColor="text1"/>
          <w:sz w:val="24"/>
          <w:szCs w:val="24"/>
        </w:rPr>
        <w:t xml:space="preserve">29</w:t>
      </w:r>
      <w:r>
        <w:rPr>
          <w:rFonts w:hint="eastAsia" w:ascii="宋体" w:hAnsi="宋体"/>
          <w:b/>
          <w:color w:val="000000" w:themeColor="text1"/>
          <w:sz w:val="24"/>
          <w:szCs w:val="24"/>
        </w:rPr>
        <w:t xml:space="preserve">、质疑处理</w:t>
      </w:r>
      <w:bookmarkEnd w:id="172"/>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ascii="宋体" w:hAnsi="宋体"/>
          <w:color w:val="000000" w:themeColor="text1"/>
          <w:sz w:val="24"/>
          <w:szCs w:val="24"/>
        </w:rPr>
        <w:t xml:space="preserve">对可以质疑的采购文件提出质疑的，为收到采购文件之日或者采购文件公告期限届满之日</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29.2.2对采购过程提出质疑的，为各采购程序环节结束之日。</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.2.3</w:t>
      </w:r>
      <w:r>
        <w:rPr>
          <w:rFonts w:ascii="宋体" w:hAnsi="宋体"/>
          <w:color w:val="000000" w:themeColor="text1"/>
          <w:sz w:val="24"/>
          <w:szCs w:val="24"/>
        </w:rPr>
        <w:t xml:space="preserve">对成交结果提出质疑的，为成交结果公告期限届满之日。</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rPr>
        <w:t xml:space="preserve">采购人</w:t>
      </w:r>
      <w:r>
        <w:rPr>
          <w:rFonts w:hint="eastAsia" w:ascii="宋体" w:hAnsi="宋体"/>
          <w:color w:val="000000" w:themeColor="text1"/>
          <w:sz w:val="24"/>
          <w:szCs w:val="24"/>
        </w:rPr>
        <w:t xml:space="preserve">将只对供应商第一次质疑作出答复。</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采购人及采购人只接收以纸质原件形式送达的质疑,建议供应商尽量通过邮寄方式提交质疑（采购人和采购人不接受未填写快递运单的快件）。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采购人及采购代理机构质疑接收人及联系方式见本采购文件第一章。</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以下情形的质疑不予受理</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 内容不符合《政府采购质疑和投诉办法》第十二条规定的质疑。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 超出政府采购法定期限的质疑。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 以传真、电子邮件等方式递交的非原件形式的质疑。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 未参加磋商活动的供应商或在磋商活动中自身权益未受到损害的供应商所提出的质疑。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.5.5供应商组成联合体参加磋商，联合体中任何一方或多方未按要求签字、盖章、加盖公章的质疑。</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w:t>
      </w:r>
      <w:r>
        <w:rPr>
          <w:rFonts w:ascii="宋体" w:hAnsi="宋体"/>
          <w:b/>
          <w:color w:val="000000" w:themeColor="text1"/>
          <w:sz w:val="24"/>
          <w:szCs w:val="24"/>
        </w:rPr>
        <w:t xml:space="preserve">0</w:t>
      </w:r>
      <w:r>
        <w:rPr>
          <w:rFonts w:hint="eastAsia" w:ascii="宋体" w:hAnsi="宋体"/>
          <w:b/>
          <w:color w:val="000000" w:themeColor="text1"/>
          <w:sz w:val="24"/>
          <w:szCs w:val="24"/>
        </w:rPr>
        <w:t xml:space="preserve">、成交通知书</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0</w:t>
      </w:r>
      <w:r>
        <w:rPr>
          <w:rFonts w:ascii="宋体" w:hAnsi="宋体"/>
          <w:color w:val="000000" w:themeColor="text1"/>
          <w:sz w:val="24"/>
          <w:szCs w:val="24"/>
        </w:rPr>
        <w:t xml:space="preserve">.1</w:t>
      </w:r>
      <w:r>
        <w:rPr>
          <w:rFonts w:hint="eastAsia" w:ascii="宋体" w:hAnsi="宋体"/>
          <w:color w:val="000000" w:themeColor="text1"/>
          <w:sz w:val="24"/>
          <w:szCs w:val="24"/>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b/>
          <w:color w:val="000000" w:themeColor="text1"/>
          <w:sz w:val="24"/>
          <w:szCs w:val="24"/>
        </w:rPr>
      </w:pPr>
      <w:r/>
      <w:bookmarkStart w:id="173" w:name="_Toc120614220"/>
      <w:r/>
      <w:bookmarkStart w:id="174" w:name="_Toc20823308"/>
      <w:r/>
      <w:bookmarkStart w:id="175" w:name="_Toc16938552"/>
      <w:r/>
      <w:bookmarkStart w:id="176" w:name="_Toc513029236"/>
      <w:r>
        <w:rPr>
          <w:rFonts w:hint="eastAsia" w:ascii="宋体" w:hAnsi="宋体"/>
          <w:b/>
          <w:color w:val="000000" w:themeColor="text1"/>
          <w:sz w:val="24"/>
          <w:szCs w:val="24"/>
        </w:rPr>
        <w:t xml:space="preserve">七、授予合同</w:t>
      </w:r>
      <w:bookmarkEnd w:id="173"/>
      <w:r/>
      <w:bookmarkEnd w:id="174"/>
      <w:r/>
      <w:bookmarkEnd w:id="175"/>
      <w:r/>
      <w:bookmarkEnd w:id="176"/>
      <w:r/>
      <w:r/>
    </w:p>
    <w:p>
      <w:pPr>
        <w:ind w:firstLine="482"/>
        <w:spacing w:line="360" w:lineRule="auto"/>
        <w:rPr>
          <w:rFonts w:ascii="宋体" w:hAnsi="宋体"/>
          <w:b/>
          <w:color w:val="000000" w:themeColor="text1"/>
          <w:sz w:val="24"/>
          <w:szCs w:val="24"/>
        </w:rPr>
      </w:pPr>
      <w:r/>
      <w:bookmarkStart w:id="177" w:name="_Toc513029237"/>
      <w:r/>
      <w:bookmarkStart w:id="178" w:name="_Toc16938553"/>
      <w:r/>
      <w:bookmarkStart w:id="179" w:name="_Toc20823309"/>
      <w:r>
        <w:rPr>
          <w:rFonts w:hint="eastAsia" w:ascii="宋体" w:hAnsi="宋体"/>
          <w:b/>
          <w:color w:val="000000" w:themeColor="text1"/>
          <w:sz w:val="24"/>
          <w:szCs w:val="24"/>
        </w:rPr>
        <w:t xml:space="preserve">3</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签订合同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.l成交供应商应当在成交通知书发出之日起三十日内，按照磋商文件确定的事项与采购人签订政府采购合同。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.2磋商文件、成交供应商的响应文件及磋商过程中有关澄清、承诺文件均应作为合同附件。</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.3 </w:t>
      </w:r>
      <w:r>
        <w:rPr>
          <w:rFonts w:hint="eastAsia" w:ascii="宋体" w:hAnsi="宋体"/>
          <w:b/>
          <w:color w:val="000000" w:themeColor="text1"/>
          <w:sz w:val="24"/>
          <w:szCs w:val="24"/>
        </w:rPr>
        <w:t xml:space="preserve">签订合同后，成交供应商不得将合同标的进行转包。</w:t>
      </w:r>
      <w:r>
        <w:rPr>
          <w:rFonts w:hint="eastAsia" w:ascii="宋体" w:hAnsi="宋体"/>
          <w:color w:val="000000" w:themeColor="text1"/>
          <w:sz w:val="24"/>
          <w:szCs w:val="24"/>
        </w:rPr>
        <w:t xml:space="preserve">未经采购人同意，成交供应商也不得采用分包形式履行合同,否则采购人有权终止合同。转包或分包造成采购人损失的，成交供应商应承担相应赔偿责任。</w:t>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w:t>
      </w:r>
      <w:r>
        <w:rPr>
          <w:rFonts w:ascii="宋体" w:hAnsi="宋体"/>
          <w:b/>
          <w:color w:val="000000" w:themeColor="text1"/>
          <w:sz w:val="24"/>
          <w:szCs w:val="24"/>
        </w:rPr>
        <w:t xml:space="preserve">2</w:t>
      </w:r>
      <w:r>
        <w:rPr>
          <w:rFonts w:hint="eastAsia" w:ascii="宋体" w:hAnsi="宋体"/>
          <w:b/>
          <w:color w:val="000000" w:themeColor="text1"/>
          <w:sz w:val="24"/>
          <w:szCs w:val="24"/>
        </w:rPr>
        <w:t xml:space="preserve">、标的物的追加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77"/>
      <w:r/>
      <w:bookmarkEnd w:id="178"/>
      <w:r/>
      <w:bookmarkEnd w:id="179"/>
      <w:r/>
      <w:r/>
    </w:p>
    <w:p>
      <w:pPr>
        <w:ind w:firstLine="482"/>
        <w:spacing w:line="360" w:lineRule="auto"/>
        <w:rPr>
          <w:rFonts w:ascii="宋体" w:hAnsi="宋体"/>
          <w:b/>
          <w:color w:val="000000" w:themeColor="text1"/>
          <w:sz w:val="24"/>
          <w:szCs w:val="24"/>
        </w:rPr>
      </w:pPr>
      <w:r/>
      <w:bookmarkStart w:id="180" w:name="_Toc16938558"/>
      <w:r/>
      <w:bookmarkStart w:id="181" w:name="_Toc479757207"/>
      <w:r/>
      <w:bookmarkStart w:id="182" w:name="_Toc120614221"/>
      <w:r/>
      <w:bookmarkStart w:id="183" w:name="_Toc20823314"/>
      <w:r/>
      <w:bookmarkStart w:id="184" w:name="_Toc513029242"/>
      <w:r>
        <w:rPr>
          <w:rFonts w:hint="eastAsia" w:ascii="宋体" w:hAnsi="宋体"/>
          <w:b/>
          <w:color w:val="000000" w:themeColor="text1"/>
          <w:sz w:val="24"/>
          <w:szCs w:val="24"/>
        </w:rPr>
        <w:t xml:space="preserve">3</w:t>
      </w:r>
      <w:r>
        <w:rPr>
          <w:rFonts w:ascii="宋体" w:hAnsi="宋体"/>
          <w:b/>
          <w:color w:val="000000" w:themeColor="text1"/>
          <w:sz w:val="24"/>
          <w:szCs w:val="24"/>
        </w:rPr>
        <w:t xml:space="preserve">3</w:t>
      </w:r>
      <w:r>
        <w:rPr>
          <w:rFonts w:hint="eastAsia" w:ascii="宋体" w:hAnsi="宋体"/>
          <w:b/>
          <w:color w:val="000000" w:themeColor="text1"/>
          <w:sz w:val="24"/>
          <w:szCs w:val="24"/>
        </w:rPr>
        <w:t xml:space="preserve">、政府采购履约资金扶持政策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成交供应商可凭政府采购合同办理融资贷款，详情请见江苏政府采购网“政采贷”专栏。</w:t>
      </w:r>
      <w:bookmarkEnd w:id="180"/>
      <w:r/>
      <w:bookmarkEnd w:id="181"/>
      <w:r/>
      <w:bookmarkEnd w:id="182"/>
      <w:r/>
      <w:bookmarkEnd w:id="183"/>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34. 政府采购合同信用融资扶持政策</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34.1根据</w:t>
      </w:r>
      <w:r>
        <w:rPr>
          <w:rFonts w:hint="eastAsia" w:ascii="宋体" w:hAnsi="宋体"/>
          <w:color w:val="000000" w:themeColor="text1"/>
          <w:sz w:val="24"/>
          <w:szCs w:val="24"/>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34.2.1确定融资意向。中标(成交) 供应商取得中标 (成交 ) 通知书后，联系意向金融机构，商治融资事项，确定融资意向。</w:t>
      </w:r>
      <w:r/>
    </w:p>
    <w:p>
      <w:pPr>
        <w:ind w:firstLine="480"/>
        <w:spacing w:line="360" w:lineRule="auto"/>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34.2.2签订采购合同。中标(成交 ) 供应商与采购人签订政府采购合同时，应将自身融资需求告知采购人或其委托的采购代理机构，提醒 (或协助 ) 其当天在“苏采云”上传合同的同时将“供应商是否融资”选为“是”</w:t>
      </w:r>
      <w:r>
        <w:rPr>
          <w:rFonts w:hint="eastAsia" w:ascii="宋体" w:hAnsi="宋体"/>
          <w:color w:val="000000" w:themeColor="text1"/>
          <w:sz w:val="24"/>
          <w:szCs w:val="24"/>
          <w:lang w:eastAsia="zh-CN"/>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34.2.3提交融资申请。中标(成交) 供应商登录“中征平台”进行用户注册，查看“政采贷”融资产品，向确定合作的金融机构提交融资申请。</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34.2.4确认回款账户。金融机构填写需要锁定的回款账户信息后中标(成交)供应商应登录“中征平台”确认账户信息，以实现回款账户的锁定。</w:t>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hint="eastAsia"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r>
      <w:r/>
    </w:p>
    <w:p>
      <w:pPr>
        <w:ind w:firstLine="880"/>
        <w:jc w:val="center"/>
        <w:spacing w:line="560" w:lineRule="exact"/>
        <w:rPr>
          <w:rFonts w:ascii="黑体" w:hAnsi="Courier New" w:eastAsia="黑体" w:cs="Courier New"/>
          <w:bCs/>
          <w:color w:val="000000" w:themeColor="text1"/>
          <w:sz w:val="44"/>
          <w:szCs w:val="21"/>
        </w:rPr>
      </w:pPr>
      <w:r/>
      <w:bookmarkStart w:id="207" w:name="_GoBack"/>
      <w:r/>
      <w:bookmarkEnd w:id="207"/>
      <w:r>
        <w:rPr>
          <w:rFonts w:hint="eastAsia" w:ascii="黑体" w:hAnsi="Courier New" w:eastAsia="黑体" w:cs="Courier New"/>
          <w:bCs/>
          <w:color w:val="000000" w:themeColor="text1"/>
          <w:sz w:val="44"/>
          <w:szCs w:val="21"/>
        </w:rPr>
        <w:t xml:space="preserve">第</w:t>
      </w:r>
      <w:bookmarkEnd w:id="185"/>
      <w:r>
        <w:rPr>
          <w:rFonts w:hint="eastAsia" w:ascii="黑体" w:hAnsi="Courier New" w:eastAsia="黑体" w:cs="Courier New"/>
          <w:bCs/>
          <w:color w:val="000000" w:themeColor="text1"/>
          <w:sz w:val="44"/>
          <w:szCs w:val="21"/>
        </w:rPr>
        <w:t xml:space="preserve">三章 采购需求</w:t>
      </w:r>
      <w:bookmarkEnd w:id="186"/>
      <w:r/>
      <w:bookmarkEnd w:id="187"/>
      <w:r/>
      <w:bookmarkEnd w:id="188"/>
      <w:r/>
      <w:bookmarkStart w:id="191" w:name="_Toc26554093"/>
      <w:r/>
      <w:bookmarkStart w:id="192" w:name="_Toc49090575"/>
      <w:r/>
      <w:r/>
    </w:p>
    <w:p>
      <w:pPr>
        <w:ind w:firstLine="480"/>
        <w:spacing w:line="56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项目属性：</w:t>
      </w:r>
      <w:r>
        <w:rPr>
          <w:rFonts w:hint="eastAsia" w:ascii="宋体" w:hAnsi="Courier New" w:cs="Courier New"/>
          <w:color w:val="000000" w:themeColor="text1"/>
          <w:sz w:val="24"/>
          <w:szCs w:val="24"/>
          <w:lang w:val="en-US" w:eastAsia="zh-CN"/>
        </w:rPr>
        <w:t xml:space="preserve">货物</w:t>
      </w:r>
      <w:r>
        <w:rPr>
          <w:rFonts w:hint="eastAsia" w:ascii="宋体" w:hAnsi="Courier New" w:cs="Courier New"/>
          <w:color w:val="000000" w:themeColor="text1"/>
          <w:sz w:val="24"/>
          <w:szCs w:val="24"/>
        </w:rPr>
        <w:t xml:space="preserve">类项目</w:t>
      </w:r>
      <w:r/>
    </w:p>
    <w:p>
      <w:pPr>
        <w:ind w:firstLine="480"/>
        <w:spacing w:line="56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采购需求包括拟采购的标的及其需要满足的技术、商务要求。</w:t>
      </w:r>
      <w:r/>
    </w:p>
    <w:p>
      <w:pPr>
        <w:ind w:firstLine="480"/>
        <w:spacing w:line="560" w:lineRule="exact"/>
        <w:rPr>
          <w:rFonts w:hint="eastAsia" w:ascii="宋体" w:hAnsi="Courier New" w:cs="Courier New"/>
          <w:color w:val="000000" w:themeColor="text1"/>
          <w:sz w:val="24"/>
          <w:szCs w:val="24"/>
        </w:rPr>
      </w:pPr>
      <w:r>
        <w:rPr>
          <w:rFonts w:hint="eastAsia" w:ascii="宋体" w:hAnsi="宋体"/>
          <w:bCs/>
          <w:color w:val="000000" w:themeColor="text1"/>
          <w:sz w:val="24"/>
          <w:szCs w:val="24"/>
        </w:rPr>
        <w:t xml:space="preserve">（一）技术要求是指对采购标的功能和质量要求，包括性能、材料、结构、外观、安全，或</w:t>
      </w:r>
      <w:r>
        <w:rPr>
          <w:rFonts w:hint="eastAsia" w:ascii="宋体" w:hAnsi="Courier New" w:cs="Courier New"/>
          <w:color w:val="000000" w:themeColor="text1"/>
          <w:sz w:val="24"/>
          <w:szCs w:val="24"/>
        </w:rPr>
        <w:t xml:space="preserve">者服务内容和标准等。</w:t>
      </w:r>
      <w:r/>
    </w:p>
    <w:p>
      <w:pPr>
        <w:ind w:firstLine="480"/>
        <w:spacing w:line="560" w:lineRule="exact"/>
        <w:rPr>
          <w:rFonts w:hint="eastAsia" w:ascii="宋体" w:hAnsi="Courier New" w:cs="Courier New"/>
          <w:color w:val="000000" w:themeColor="text1"/>
          <w:sz w:val="24"/>
          <w:szCs w:val="24"/>
        </w:rPr>
      </w:pPr>
      <w:r>
        <w:rPr>
          <w:rFonts w:hint="eastAsia" w:ascii="宋体" w:hAnsi="Courier New" w:cs="Courier New"/>
          <w:color w:val="000000" w:themeColor="text1"/>
          <w:sz w:val="24"/>
          <w:szCs w:val="24"/>
        </w:rPr>
        <w:t xml:space="preserve">采购内容：</w:t>
      </w:r>
      <w:r>
        <w:rPr>
          <w:rFonts w:hint="eastAsia" w:ascii="宋体" w:hAnsi="Courier New" w:cs="Courier New"/>
          <w:color w:val="000000" w:themeColor="text1"/>
          <w:sz w:val="24"/>
          <w:szCs w:val="24"/>
          <w:lang w:val="en-US" w:eastAsia="zh-CN"/>
        </w:rPr>
        <w:t xml:space="preserve">①</w:t>
      </w:r>
      <w:r>
        <w:rPr>
          <w:rFonts w:hint="eastAsia" w:ascii="宋体" w:hAnsi="Courier New" w:cs="Courier New"/>
          <w:color w:val="000000" w:themeColor="text1"/>
          <w:sz w:val="24"/>
          <w:szCs w:val="24"/>
        </w:rPr>
        <w:t xml:space="preserve">学生公寓家具</w:t>
      </w:r>
      <w:r>
        <w:rPr>
          <w:rFonts w:hint="eastAsia" w:ascii="宋体" w:hAnsi="Courier New" w:cs="Courier New"/>
          <w:color w:val="000000" w:themeColor="text1"/>
          <w:sz w:val="24"/>
          <w:szCs w:val="24"/>
          <w:lang w:val="en-US" w:eastAsia="zh-CN"/>
        </w:rPr>
        <w:t xml:space="preserve">750</w:t>
      </w:r>
      <w:r>
        <w:rPr>
          <w:rFonts w:hint="eastAsia" w:ascii="宋体" w:hAnsi="Courier New" w:cs="Courier New"/>
          <w:color w:val="000000" w:themeColor="text1"/>
          <w:sz w:val="24"/>
          <w:szCs w:val="24"/>
        </w:rPr>
        <w:t xml:space="preserve">套</w:t>
      </w:r>
      <w:r>
        <w:rPr>
          <w:rFonts w:hint="eastAsia" w:ascii="宋体" w:hAnsi="Courier New" w:cs="Courier New"/>
          <w:color w:val="000000" w:themeColor="text1"/>
          <w:sz w:val="24"/>
          <w:szCs w:val="24"/>
          <w:lang w:eastAsia="zh-CN"/>
        </w:rPr>
        <w:t xml:space="preserve">（</w:t>
      </w:r>
      <w:r>
        <w:rPr>
          <w:rFonts w:hint="eastAsia" w:ascii="宋体" w:hAnsi="Courier New" w:cs="Courier New"/>
          <w:color w:val="000000" w:themeColor="text1"/>
          <w:sz w:val="24"/>
          <w:szCs w:val="24"/>
          <w:lang w:val="en-US" w:eastAsia="zh-CN"/>
        </w:rPr>
        <w:t xml:space="preserve">橡木材质上床下桌含衣橱</w:t>
      </w:r>
      <w:r>
        <w:rPr>
          <w:rFonts w:hint="eastAsia" w:ascii="宋体" w:hAnsi="Courier New" w:cs="Courier New"/>
          <w:color w:val="000000" w:themeColor="text1"/>
          <w:sz w:val="24"/>
          <w:szCs w:val="24"/>
          <w:lang w:eastAsia="zh-CN"/>
        </w:rPr>
        <w:t xml:space="preserve">），</w:t>
      </w:r>
      <w:r>
        <w:rPr>
          <w:rFonts w:hint="eastAsia" w:ascii="宋体" w:hAnsi="Courier New" w:cs="Courier New"/>
          <w:color w:val="000000" w:themeColor="text1"/>
          <w:sz w:val="24"/>
          <w:szCs w:val="24"/>
          <w:lang w:val="en-US" w:eastAsia="zh-CN"/>
        </w:rPr>
        <w:t xml:space="preserve">每套学生公寓家具</w:t>
      </w:r>
      <w:r>
        <w:rPr>
          <w:rFonts w:hint="eastAsia" w:ascii="宋体" w:hAnsi="Courier New" w:cs="Courier New"/>
          <w:color w:val="000000" w:themeColor="text1"/>
          <w:sz w:val="24"/>
          <w:szCs w:val="24"/>
        </w:rPr>
        <w:t xml:space="preserve">包含：高架床1张、床下桌柜1组、公寓凳1张。</w:t>
      </w:r>
      <w:r/>
    </w:p>
    <w:p>
      <w:pPr>
        <w:ind w:firstLine="480"/>
        <w:spacing w:line="560" w:lineRule="exact"/>
        <w:rPr>
          <w:rFonts w:hint="eastAsia" w:ascii="宋体" w:hAnsi="Courier New" w:cs="Courier New"/>
          <w:color w:val="000000" w:themeColor="text1"/>
          <w:sz w:val="24"/>
          <w:szCs w:val="24"/>
          <w:lang w:val="en-US" w:eastAsia="zh-CN"/>
        </w:rPr>
      </w:pPr>
      <w:r>
        <w:rPr>
          <w:rFonts w:hint="eastAsia" w:ascii="宋体" w:hAnsi="Courier New" w:cs="Courier New"/>
          <w:color w:val="000000" w:themeColor="text1"/>
          <w:sz w:val="24"/>
          <w:szCs w:val="24"/>
          <w:lang w:val="en-US" w:eastAsia="zh-CN"/>
        </w:rPr>
        <w:t xml:space="preserve">②可移动沥水拖把架100套（扶手127双排20拖48钩、不锈钢盆，底盆可排水）、600把棉线毛线拖把、400把硬毛刷子（长地刷）。</w:t>
      </w:r>
      <w:r/>
    </w:p>
    <w:p>
      <w:pPr>
        <w:pStyle w:val="745"/>
        <w:numPr>
          <w:ilvl w:val="0"/>
          <w:numId w:val="0"/>
        </w:numPr>
        <w:ind w:firstLine="480"/>
        <w:jc w:val="center"/>
        <w:keepLines w:val="0"/>
        <w:keepNext w:val="0"/>
        <w:pageBreakBefore w:val="0"/>
        <w:spacing w:after="0" w:line="312"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2868295" cy="2844165"/>
                <wp:effectExtent l="0" t="0" r="8255" b="13335"/>
                <wp:docPr id="1" name="图片 1" descr="68a469e711ec3d9f75d1ba8deb554e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8a469e711ec3d9f75d1ba8deb554ec2"/>
                        <pic:cNvPicPr>
                          <a:picLocks noChangeAspect="1"/>
                        </pic:cNvPicPr>
                        <pic:nvPr/>
                      </pic:nvPicPr>
                      <pic:blipFill>
                        <a:blip r:embed="rId12"/>
                        <a:stretch/>
                      </pic:blipFill>
                      <pic:spPr bwMode="auto">
                        <a:xfrm>
                          <a:off x="0" y="0"/>
                          <a:ext cx="2868295" cy="2844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8pt;height:223.9pt;mso-wrap-distance-left:0.0pt;mso-wrap-distance-top:0.0pt;mso-wrap-distance-right:0.0pt;mso-wrap-distance-bottom:0.0pt;" stroked="false">
                <v:path textboxrect="0,0,0,0"/>
                <v:imagedata r:id="rId12" o:title=""/>
              </v:shape>
            </w:pict>
          </mc:Fallback>
        </mc:AlternateContent>
      </w:r>
      <w:r/>
    </w:p>
    <w:p>
      <w:pPr>
        <w:pStyle w:val="745"/>
        <w:ind w:left="360" w:firstLine="480"/>
        <w:keepLines w:val="0"/>
        <w:keepNext w:val="0"/>
        <w:pageBreakBefore w:val="0"/>
        <w:spacing w:after="0" w:line="312"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center"/>
        <w:keepLines w:val="0"/>
        <w:keepNext w:val="0"/>
        <w:pageBreakBefore w:val="0"/>
        <w:spacing w:after="0" w:line="31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学生公寓家具参考样图</w:t>
      </w:r>
      <w:r/>
    </w:p>
    <w:p>
      <w:pPr>
        <w:ind w:firstLine="480"/>
        <w:jc w:val="center"/>
        <w:keepLines w:val="0"/>
        <w:keepNext w:val="0"/>
        <w:pageBreakBefore w:val="0"/>
        <w:spacing w:after="0" w:line="312"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5267325" cy="2962275"/>
                <wp:effectExtent l="0" t="0" r="9525" b="9525"/>
                <wp:docPr id="2" name="图片 2" descr="95f7462637502625109edf3e4d13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5f7462637502625109edf3e4d131983"/>
                        <pic:cNvPicPr>
                          <a:picLocks noChangeAspect="1"/>
                        </pic:cNvPicPr>
                        <pic:nvPr/>
                      </pic:nvPicPr>
                      <pic:blipFill>
                        <a:blip r:embed="rId13"/>
                        <a:stretch/>
                      </pic:blipFill>
                      <pic:spPr bwMode="auto">
                        <a:xfrm>
                          <a:off x="0" y="0"/>
                          <a:ext cx="5267325" cy="2962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33.2pt;mso-wrap-distance-left:0.0pt;mso-wrap-distance-top:0.0pt;mso-wrap-distance-right:0.0pt;mso-wrap-distance-bottom:0.0pt;" stroked="false">
                <v:path textboxrect="0,0,0,0"/>
                <v:imagedata r:id="rId13" o:title=""/>
              </v:shape>
            </w:pict>
          </mc:Fallback>
        </mc:AlternateConten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参数要求：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一、高架床</w:t>
      </w:r>
      <w:r>
        <w:rPr>
          <w:rFonts w:hint="eastAsia" w:ascii="宋体" w:hAnsi="宋体"/>
          <w:bCs/>
          <w:color w:val="000000" w:themeColor="text1"/>
          <w:sz w:val="24"/>
          <w:szCs w:val="24"/>
          <w:lang w:val="en-US" w:eastAsia="zh-CN"/>
        </w:rPr>
        <w:t xml:space="preserve">要求</w:t>
      </w:r>
      <w:r>
        <w:rPr>
          <w:rFonts w:hint="eastAsia" w:ascii="宋体" w:hAnsi="宋体"/>
          <w:bCs/>
          <w:color w:val="000000" w:themeColor="text1"/>
          <w:sz w:val="24"/>
          <w:szCs w:val="24"/>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单人高架床外形基准尺寸：长 2050mm× 宽 950mm× 高 2200mm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允许制造安装尺寸偏差范围：</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长度 L：2000mm～2050mm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宽度 W：920mm～960mm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高度 H：1950mm～2250mm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2、材质要求：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主体材质采用优质橡胶木，木材外观无贯通裂缝、无孔洞、无虫蛀、无腐朽材、无树脂囊、无明显死节。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3、工艺要求：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床两侧框架采用椭圆型带倒挂榫卯结构设计，安全美观，榫卯处采用水基型胶粘剂装斗粘合，更加稳固耐用；床立柱与长横梁及前护拦采用优质螺栓及螺帽连接固定，使用寿命长；所有棱角处圆弧处理（即四面棱角倒2mm的圆角），防止磕碰受伤。</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具体要求如下：</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1.床立柱</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规格不低于60mm*80mm，为防潮，防霉，床脚必须外套pp材质一次注塑成型的塑料脚套，脚套高度200mm。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2.床横梁</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规格不低于100mm*30mm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3.侧短横梁</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规格不低于70mm*30mm，床立柱与床横梁内角处设有角铁加固，使其更加牢固，稳定。</w:t>
      </w:r>
      <w:r/>
    </w:p>
    <w:p>
      <w:pPr>
        <w:ind w:firstLine="480"/>
        <w:spacing w:line="560" w:lineRule="exact"/>
        <w:rPr>
          <w:rFonts w:hint="eastAsia" w:ascii="宋体" w:hAnsi="宋体"/>
          <w:bCs/>
          <w:color w:val="000000" w:themeColor="text1"/>
          <w:sz w:val="24"/>
          <w:szCs w:val="24"/>
          <w:lang w:eastAsia="zh-CN"/>
        </w:rPr>
      </w:pPr>
      <w:r>
        <w:rPr>
          <w:rFonts w:hint="eastAsia" w:ascii="宋体" w:hAnsi="宋体"/>
          <w:bCs/>
          <w:color w:val="000000" w:themeColor="text1"/>
          <w:sz w:val="24"/>
          <w:szCs w:val="24"/>
        </w:rPr>
        <w:t xml:space="preserve">4.前护栏</w:t>
      </w:r>
      <w:r>
        <w:rPr>
          <w:rFonts w:hint="eastAsia" w:ascii="宋体" w:hAnsi="宋体"/>
          <w:bCs/>
          <w:color w:val="000000" w:themeColor="text1"/>
          <w:sz w:val="24"/>
          <w:szCs w:val="24"/>
          <w:lang w:eastAsia="zh-CN"/>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高度规格不低于400mm</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榫卯结构插入床横梁和床立柱内。中间镶嵌护栏板</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护栏板外侧中间带有一个内径直径128mm±2mm的圆形凹槽可粘贴学生信息卡或校徽。内侧安装储物盒，方便储存小物品，并在内侧醒目位置标注永久性床褥上表面最大高度警示线（警示线距护栏顶边距离≥200mm）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侧护栏：不低于以下规格</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横料采用47mm*30mm橡胶木木方，</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竖料采用47mm*25mm橡胶木木方；</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5.拉杆</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规格不低于70*30mm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侧拉杆：规格不低于50*30mm</w:t>
      </w:r>
      <w:r/>
    </w:p>
    <w:p>
      <w:pPr>
        <w:ind w:firstLine="480"/>
        <w:spacing w:line="560" w:lineRule="exact"/>
        <w:rPr>
          <w:rFonts w:hint="eastAsia" w:ascii="宋体" w:hAnsi="宋体"/>
          <w:bCs/>
          <w:color w:val="000000" w:themeColor="text1"/>
          <w:sz w:val="24"/>
          <w:szCs w:val="24"/>
          <w:lang w:eastAsia="zh-CN"/>
        </w:rPr>
      </w:pPr>
      <w:r>
        <w:rPr>
          <w:rFonts w:hint="eastAsia" w:ascii="宋体" w:hAnsi="宋体"/>
          <w:bCs/>
          <w:color w:val="000000" w:themeColor="text1"/>
          <w:sz w:val="24"/>
          <w:szCs w:val="24"/>
        </w:rPr>
        <w:t xml:space="preserve">6.爬梯及踏板</w:t>
      </w:r>
      <w:r>
        <w:rPr>
          <w:rFonts w:hint="eastAsia" w:ascii="宋体" w:hAnsi="宋体"/>
          <w:bCs/>
          <w:color w:val="000000" w:themeColor="text1"/>
          <w:sz w:val="24"/>
          <w:szCs w:val="24"/>
          <w:lang w:eastAsia="zh-CN"/>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不低于以下要求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（1）支架采用20mm*40mm厚优质椭圆管弯曲成型，管厚1.2mm。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踏板：采用PP塑料一次性中空吹塑成型，不得采用回收料，规格：长≥500mm、宽≥100mm、厚≥28mm，踏步内空长300mm-355mm，踏板带有防滑条纹，环保，硬度高，韧性强，表面耐磨、耐划伤、抗污抗老化、抗压抗冲击。中空踏板下配有一根20mm*40mm*1.2mm优质方管。（外观尺寸偏差范围允许±2mm</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材料厚度不允许负偏离）</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（3）楼梯落地管带防潮塑料脚套采用PE塑料一次性注塑成型外套高50mm，爬梯下部连接方式采用φ19mm圆管，壁厚0.9mm。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（4）爬梯整体弯曲二次，方便上下梯。爬梯与横梁</w:t>
      </w:r>
      <w:r>
        <w:rPr>
          <w:rFonts w:hint="eastAsia" w:ascii="宋体" w:hAnsi="宋体"/>
          <w:bCs/>
          <w:color w:val="000000" w:themeColor="text1"/>
          <w:sz w:val="24"/>
          <w:szCs w:val="24"/>
          <w:lang w:eastAsia="zh-CN"/>
        </w:rPr>
        <w:t xml:space="preserve">接缝处</w:t>
      </w:r>
      <w:r>
        <w:rPr>
          <w:rFonts w:hint="eastAsia" w:ascii="宋体" w:hAnsi="宋体"/>
          <w:bCs/>
          <w:color w:val="000000" w:themeColor="text1"/>
          <w:sz w:val="24"/>
          <w:szCs w:val="24"/>
        </w:rPr>
        <w:t xml:space="preserve">加固一次性注塑成型PE塑料外套（连接螺丝不外露），增加美观性。</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7.床板</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采用不低于14mm厚杉木板拼接而成，经烘干、抛光处理，拼接及铺装缝隙应小于2mm，床板背面采用5根35*25mm实木木方实木方条横杠钉制加固。（尺寸按实际空间</w:t>
      </w:r>
      <w:r>
        <w:rPr>
          <w:rFonts w:hint="eastAsia" w:ascii="宋体" w:hAnsi="宋体"/>
          <w:bCs/>
          <w:color w:val="000000" w:themeColor="text1"/>
          <w:sz w:val="24"/>
          <w:szCs w:val="24"/>
          <w:lang w:eastAsia="zh-CN"/>
        </w:rPr>
        <w:t xml:space="preserve">制作</w:t>
      </w:r>
      <w:r>
        <w:rPr>
          <w:rFonts w:hint="eastAsia" w:ascii="宋体" w:hAnsi="宋体"/>
          <w:bCs/>
          <w:color w:val="000000" w:themeColor="text1"/>
          <w:sz w:val="24"/>
          <w:szCs w:val="24"/>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8.蚊帐架</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采用直径19mm*0.9mm圆管制作。</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二、床下桌柜</w:t>
      </w:r>
      <w:r>
        <w:rPr>
          <w:rFonts w:hint="eastAsia" w:ascii="宋体" w:hAnsi="宋体"/>
          <w:bCs/>
          <w:color w:val="000000" w:themeColor="text1"/>
          <w:sz w:val="24"/>
          <w:szCs w:val="24"/>
          <w:lang w:val="en-US" w:eastAsia="zh-CN"/>
        </w:rPr>
        <w:t xml:space="preserve">要求</w:t>
      </w:r>
      <w:r>
        <w:rPr>
          <w:rFonts w:hint="eastAsia" w:ascii="宋体" w:hAnsi="宋体"/>
          <w:bCs/>
          <w:color w:val="000000" w:themeColor="text1"/>
          <w:sz w:val="24"/>
          <w:szCs w:val="24"/>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1.整体尺寸：不低于L1880*W600*H1680mm采用优质橡胶木，写字桌面及柜体板材全部采用厚度18mm，背板采用多层贴橡木厚度4.5mm，板材四面</w:t>
      </w:r>
      <w:r>
        <w:rPr>
          <w:rFonts w:hint="eastAsia" w:ascii="宋体" w:hAnsi="宋体"/>
          <w:bCs/>
          <w:color w:val="000000" w:themeColor="text1"/>
          <w:sz w:val="24"/>
          <w:szCs w:val="24"/>
          <w:lang w:eastAsia="zh-CN"/>
        </w:rPr>
        <w:t xml:space="preserve">棱角</w:t>
      </w:r>
      <w:r>
        <w:rPr>
          <w:rFonts w:hint="eastAsia" w:ascii="宋体" w:hAnsi="宋体"/>
          <w:bCs/>
          <w:color w:val="000000" w:themeColor="text1"/>
          <w:sz w:val="24"/>
          <w:szCs w:val="24"/>
        </w:rPr>
        <w:t xml:space="preserve">倒2mm的圆角，增加其四边的圆滑性、安全性，美观性，使其安全性更高，可预防碰伤。（外观尺寸偏差范围允许±5mm</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材料厚度不允许负偏离），采用优质五金。</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2.防潮脚垫：采用一次性PP塑料注塑成‘L’型，规格：边长76mm*76mm*高76mm，厚度21mm，耐用防生锈，塑料（原材料为聚丙烯），环保，硬度高，韧性强，表面耐磨、耐划伤、抗污抗老化、抗压抗冲击。</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3.五金铰链、抽屉轨道等五金件采用优质五金件，优质锁具，导轨：带阻尼，滚珠导轨，抽拉静音流畅，铰链：带阻尼，开关流畅顺滑；</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三、</w:t>
      </w:r>
      <w:r>
        <w:rPr>
          <w:rFonts w:hint="eastAsia" w:ascii="宋体" w:hAnsi="宋体"/>
          <w:bCs/>
          <w:color w:val="000000" w:themeColor="text1"/>
          <w:sz w:val="24"/>
          <w:szCs w:val="24"/>
        </w:rPr>
        <w:t xml:space="preserve">公寓凳要求：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凳面材质尺寸：采用E1级环保密度板（表层采用三聚氰胺板贴面）经优质PP工程塑料一次性注塑封边，无接头，抗压、耐磨、耐冲击。规格：长360mm*宽260mm*厚18mm，凳面上下左右四面带有波浪线设计，凹深5mm，增加美观舒适度，符合人体工效学及人性化设计，便于学生阅读，保护视力</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凳面采用平头马车固定。（外观尺寸偏差范围允许±2mm</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rPr>
        <w:t xml:space="preserve">材料厚度不允许负偏离）</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2.钢架：采用优质20mm*40mm碳素方管制作，壁厚1.2mm，拉杆采用优质20mm*20mm方管，壁厚0.9mm。</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其他：两床连接处采用优质橡胶木连接，横料采用50*30mm，竖料采用25*50mm。</w:t>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1.采购标的需实现的功能或者目标，以及为落实政府采购政策需满足的要求：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符合国家最新行业标准及采购人要求。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2.采购标的需执行的国家相关标准、行业标准、地方标准或者其他标准、规范：</w:t>
      </w:r>
      <w:r/>
    </w:p>
    <w:p>
      <w:pPr>
        <w:ind w:firstLine="480"/>
        <w:spacing w:line="560" w:lineRule="exact"/>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lang w:val="en-US" w:eastAsia="zh-CN"/>
        </w:rPr>
        <w:t xml:space="preserve">2.1</w:t>
      </w:r>
      <w:r>
        <w:rPr>
          <w:rFonts w:hint="eastAsia" w:ascii="宋体" w:hAnsi="宋体"/>
          <w:b/>
          <w:bCs w:val="0"/>
          <w:color w:val="000000" w:themeColor="text1"/>
          <w:sz w:val="24"/>
          <w:szCs w:val="24"/>
          <w:highlight w:val="none"/>
        </w:rPr>
        <w:t xml:space="preserve">《家具中有害物质限量》（GB 18584-2024）</w:t>
      </w:r>
      <w:r/>
    </w:p>
    <w:p>
      <w:pPr>
        <w:ind w:firstLine="480"/>
        <w:spacing w:line="560" w:lineRule="exact"/>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lang w:val="en-US" w:eastAsia="zh-CN"/>
        </w:rPr>
        <w:t xml:space="preserve">2.2</w:t>
      </w:r>
      <w:r>
        <w:rPr>
          <w:rFonts w:hint="eastAsia" w:ascii="宋体" w:hAnsi="宋体"/>
          <w:b/>
          <w:bCs w:val="0"/>
          <w:color w:val="000000" w:themeColor="text1"/>
          <w:sz w:val="24"/>
          <w:szCs w:val="24"/>
          <w:highlight w:val="none"/>
        </w:rPr>
        <w:t xml:space="preserve">《家具结构安全技术规范》（GB 28008-2024）</w:t>
      </w:r>
      <w:r/>
    </w:p>
    <w:p>
      <w:pPr>
        <w:ind w:firstLine="480"/>
        <w:spacing w:line="560" w:lineRule="exact"/>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lang w:val="en-US" w:eastAsia="zh-CN"/>
        </w:rPr>
        <w:t xml:space="preserve">2.3</w:t>
      </w:r>
      <w:r>
        <w:rPr>
          <w:rFonts w:hint="eastAsia" w:ascii="宋体" w:hAnsi="宋体"/>
          <w:b/>
          <w:bCs w:val="0"/>
          <w:color w:val="000000" w:themeColor="text1"/>
          <w:sz w:val="24"/>
          <w:szCs w:val="24"/>
          <w:highlight w:val="none"/>
        </w:rPr>
        <w:t xml:space="preserve">《人造板及其制品中甲醛释放限量》（GB 18580-2017）</w:t>
      </w:r>
      <w:r/>
    </w:p>
    <w:p>
      <w:pPr>
        <w:ind w:firstLine="480"/>
        <w:spacing w:line="560" w:lineRule="exact"/>
        <w:rPr>
          <w:rFonts w:hint="eastAsia" w:ascii="宋体" w:hAnsi="宋体" w:eastAsia="宋体"/>
          <w:bCs/>
          <w:color w:val="000000" w:themeColor="text1"/>
          <w:sz w:val="24"/>
          <w:szCs w:val="24"/>
          <w:highlight w:val="none"/>
          <w:lang w:eastAsia="zh-CN"/>
        </w:rPr>
      </w:pPr>
      <w:r>
        <w:rPr>
          <w:rFonts w:hint="eastAsia" w:ascii="宋体" w:hAnsi="宋体"/>
          <w:b/>
          <w:bCs w:val="0"/>
          <w:color w:val="000000" w:themeColor="text1"/>
          <w:sz w:val="24"/>
          <w:szCs w:val="24"/>
          <w:highlight w:val="none"/>
        </w:rPr>
        <w:t xml:space="preserve">注：须提供以</w:t>
      </w:r>
      <w:r>
        <w:rPr>
          <w:rFonts w:hint="eastAsia" w:ascii="宋体" w:hAnsi="宋体"/>
          <w:b/>
          <w:bCs w:val="0"/>
          <w:color w:val="000000" w:themeColor="text1"/>
          <w:sz w:val="24"/>
          <w:szCs w:val="24"/>
          <w:highlight w:val="none"/>
          <w:lang w:eastAsia="zh-CN"/>
        </w:rPr>
        <w:t xml:space="preserve">上</w:t>
      </w:r>
      <w:r>
        <w:rPr>
          <w:rFonts w:hint="eastAsia" w:ascii="宋体" w:hAnsi="宋体"/>
          <w:b/>
          <w:bCs w:val="0"/>
          <w:color w:val="000000" w:themeColor="text1"/>
          <w:sz w:val="24"/>
          <w:szCs w:val="24"/>
          <w:highlight w:val="none"/>
        </w:rPr>
        <w:t xml:space="preserve">国家强制性标准的CMA 认证检测报告，检测报告需在有效期内，检测机构具备 CMA 资质，报告内容清晰可辨</w:t>
      </w:r>
      <w:r>
        <w:rPr>
          <w:rFonts w:hint="eastAsia" w:ascii="宋体" w:hAnsi="宋体"/>
          <w:b/>
          <w:bCs w:val="0"/>
          <w:color w:val="000000" w:themeColor="text1"/>
          <w:sz w:val="24"/>
          <w:szCs w:val="24"/>
          <w:highlight w:val="none"/>
          <w:lang w:eastAsia="zh-CN"/>
        </w:rPr>
        <w:t xml:space="preserve">，</w:t>
      </w:r>
      <w:r>
        <w:rPr>
          <w:rFonts w:hint="eastAsia" w:ascii="宋体" w:hAnsi="宋体"/>
          <w:b/>
          <w:bCs w:val="0"/>
          <w:color w:val="000000" w:themeColor="text1"/>
          <w:sz w:val="24"/>
          <w:szCs w:val="24"/>
          <w:highlight w:val="none"/>
        </w:rPr>
        <w:t xml:space="preserve">全部齐全且检测结果合格，否则按无效响应文件处理</w:t>
      </w:r>
      <w:r>
        <w:rPr>
          <w:rFonts w:hint="eastAsia" w:ascii="宋体" w:hAnsi="宋体"/>
          <w:b/>
          <w:bCs w:val="0"/>
          <w:color w:val="000000" w:themeColor="text1"/>
          <w:sz w:val="24"/>
          <w:szCs w:val="24"/>
          <w:highlight w:val="none"/>
          <w:lang w:eastAsia="zh-CN"/>
        </w:rPr>
        <w:t xml:space="preserve">。</w:t>
      </w:r>
      <w:r/>
    </w:p>
    <w:p>
      <w:pPr>
        <w:numPr>
          <w:ilvl w:val="0"/>
          <w:numId w:val="0"/>
        </w:num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3.</w:t>
      </w:r>
      <w:r>
        <w:rPr>
          <w:rFonts w:hint="eastAsia" w:ascii="宋体" w:hAnsi="宋体"/>
          <w:bCs/>
          <w:color w:val="000000" w:themeColor="text1"/>
          <w:sz w:val="24"/>
          <w:szCs w:val="24"/>
        </w:rPr>
        <w:t xml:space="preserve">采购标的需满足的质量、安全、技术规格、物理特性等要求：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满足验收标准及采购人要求。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4.采购标的的数量、采购项目交付或者实施的时间和地点： </w:t>
      </w:r>
      <w:r/>
    </w:p>
    <w:p>
      <w:pPr>
        <w:ind w:firstLine="480"/>
        <w:spacing w:line="560" w:lineRule="exact"/>
        <w:rPr>
          <w:rFonts w:hint="default" w:ascii="宋体" w:hAnsi="宋体"/>
          <w:bCs/>
          <w:color w:val="000000" w:themeColor="text1"/>
          <w:sz w:val="24"/>
          <w:szCs w:val="24"/>
          <w:lang w:val="en-US" w:eastAsia="zh-CN"/>
        </w:rPr>
      </w:pPr>
      <w:r>
        <w:rPr>
          <w:rFonts w:hint="eastAsia" w:ascii="宋体" w:hAnsi="宋体"/>
          <w:bCs/>
          <w:color w:val="000000" w:themeColor="text1"/>
          <w:sz w:val="24"/>
          <w:szCs w:val="24"/>
        </w:rPr>
        <w:t xml:space="preserve">采购数量、采购项目：详见采购</w:t>
      </w:r>
      <w:r>
        <w:rPr>
          <w:rFonts w:hint="eastAsia" w:ascii="宋体" w:hAnsi="宋体"/>
          <w:bCs/>
          <w:color w:val="000000" w:themeColor="text1"/>
          <w:sz w:val="24"/>
          <w:szCs w:val="24"/>
          <w:lang w:val="en-US" w:eastAsia="zh-CN"/>
        </w:rPr>
        <w:t xml:space="preserve">内容；</w:t>
      </w:r>
      <w:r/>
    </w:p>
    <w:p>
      <w:pPr>
        <w:ind w:firstLine="480"/>
        <w:spacing w:line="560" w:lineRule="exact"/>
        <w:rPr>
          <w:rFonts w:hint="eastAsia" w:ascii="宋体" w:hAnsi="宋体"/>
          <w:bCs/>
          <w:color w:val="000000" w:themeColor="text1"/>
          <w:sz w:val="24"/>
          <w:szCs w:val="24"/>
          <w:lang w:eastAsia="zh-CN"/>
        </w:rPr>
      </w:pPr>
      <w:r>
        <w:rPr>
          <w:rFonts w:hint="eastAsia" w:ascii="宋体" w:hAnsi="宋体"/>
          <w:bCs/>
          <w:color w:val="000000" w:themeColor="text1"/>
          <w:sz w:val="24"/>
          <w:szCs w:val="24"/>
        </w:rPr>
        <w:t xml:space="preserve">实施的时间：</w:t>
      </w:r>
      <w:r>
        <w:rPr>
          <w:rFonts w:hint="eastAsia" w:ascii="宋体" w:hAnsi="宋体"/>
          <w:b/>
          <w:bCs w:val="0"/>
          <w:color w:val="000000" w:themeColor="text1"/>
          <w:sz w:val="24"/>
          <w:szCs w:val="24"/>
        </w:rPr>
        <w:t xml:space="preserve">2026年7月10日</w:t>
      </w:r>
      <w:r>
        <w:rPr>
          <w:rFonts w:hint="eastAsia" w:ascii="宋体" w:hAnsi="宋体"/>
          <w:bCs/>
          <w:color w:val="000000" w:themeColor="text1"/>
          <w:sz w:val="24"/>
          <w:szCs w:val="24"/>
        </w:rPr>
        <w:t xml:space="preserve">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lang w:val="en-US" w:eastAsia="zh-CN"/>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地点：海安市曲塘镇中心北街5号。</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5.签定合同日期：自中标（成交）通知书发出之日起30日内按时签约。</w:t>
      </w:r>
      <w:r/>
    </w:p>
    <w:p>
      <w:pPr>
        <w:ind w:firstLine="480"/>
        <w:spacing w:line="560" w:lineRule="exact"/>
        <w:rPr>
          <w:rFonts w:hint="eastAsia" w:ascii="宋体" w:hAnsi="宋体" w:eastAsia="宋体"/>
          <w:bCs/>
          <w:color w:val="000000" w:themeColor="text1"/>
          <w:sz w:val="24"/>
          <w:szCs w:val="24"/>
          <w:lang w:eastAsia="zh-CN"/>
        </w:rPr>
      </w:pPr>
      <w:r>
        <w:rPr>
          <w:rFonts w:hint="eastAsia" w:ascii="宋体" w:hAnsi="宋体"/>
          <w:bCs/>
          <w:color w:val="000000" w:themeColor="text1"/>
          <w:sz w:val="24"/>
          <w:szCs w:val="24"/>
          <w:lang w:val="en-US" w:eastAsia="zh-CN"/>
        </w:rPr>
        <w:t xml:space="preserve">6</w:t>
      </w:r>
      <w:r>
        <w:rPr>
          <w:rFonts w:hint="eastAsia" w:ascii="宋体" w:hAnsi="宋体"/>
          <w:bCs/>
          <w:color w:val="000000" w:themeColor="text1"/>
          <w:sz w:val="24"/>
          <w:szCs w:val="24"/>
        </w:rPr>
        <w:t xml:space="preserve">.交货期（服务时间）：</w:t>
      </w:r>
      <w:r>
        <w:rPr>
          <w:rFonts w:hint="eastAsia" w:ascii="宋体" w:hAnsi="宋体"/>
          <w:b/>
          <w:bCs w:val="0"/>
          <w:color w:val="000000" w:themeColor="text1"/>
          <w:sz w:val="24"/>
          <w:szCs w:val="24"/>
        </w:rPr>
        <w:t xml:space="preserve">2026年7月10日</w:t>
      </w:r>
      <w:r>
        <w:rPr>
          <w:rFonts w:hint="eastAsia" w:ascii="宋体" w:hAnsi="宋体"/>
          <w:bCs/>
          <w:color w:val="000000" w:themeColor="text1"/>
          <w:sz w:val="24"/>
          <w:szCs w:val="24"/>
        </w:rPr>
        <w:t xml:space="preserve">完成现场安装验收交付，全部床制作工序完整规范，工艺无缺失、做工规整达标，板材、辅料等环保指标合格，甲醛含量符合国家相关安全标准</w:t>
      </w:r>
      <w:r>
        <w:rPr>
          <w:rFonts w:hint="eastAsia" w:ascii="宋体" w:hAnsi="宋体"/>
          <w:bCs/>
          <w:color w:val="000000" w:themeColor="text1"/>
          <w:sz w:val="24"/>
          <w:szCs w:val="24"/>
          <w:lang w:eastAsia="zh-CN"/>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7</w:t>
      </w:r>
      <w:r>
        <w:rPr>
          <w:rFonts w:hint="eastAsia" w:ascii="宋体" w:hAnsi="宋体"/>
          <w:bCs/>
          <w:color w:val="000000" w:themeColor="text1"/>
          <w:sz w:val="24"/>
          <w:szCs w:val="24"/>
        </w:rPr>
        <w:t xml:space="preserve">.采购标的的验收标准：符合国家最新行业标准及采购人要求。</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8</w:t>
      </w:r>
      <w:r>
        <w:rPr>
          <w:rFonts w:hint="eastAsia" w:ascii="宋体" w:hAnsi="宋体"/>
          <w:bCs/>
          <w:color w:val="000000" w:themeColor="text1"/>
          <w:sz w:val="24"/>
          <w:szCs w:val="24"/>
        </w:rPr>
        <w:t xml:space="preserve">.</w:t>
      </w:r>
      <w:bookmarkStart w:id="193" w:name="OLE_LINK1"/>
      <w:r/>
      <w:bookmarkStart w:id="194" w:name="OLE_LINK2"/>
      <w:r>
        <w:rPr>
          <w:rFonts w:hint="eastAsia" w:ascii="宋体" w:hAnsi="宋体"/>
          <w:bCs/>
          <w:color w:val="000000" w:themeColor="text1"/>
          <w:sz w:val="24"/>
          <w:szCs w:val="24"/>
        </w:rPr>
        <w:t xml:space="preserve">采购标的的其他技术、服务等要求</w:t>
      </w:r>
      <w:bookmarkEnd w:id="193"/>
      <w:r/>
      <w:bookmarkEnd w:id="194"/>
      <w:r>
        <w:rPr>
          <w:rFonts w:hint="eastAsia" w:ascii="宋体" w:hAnsi="宋体"/>
          <w:bCs/>
          <w:color w:val="000000" w:themeColor="text1"/>
          <w:sz w:val="24"/>
          <w:szCs w:val="24"/>
        </w:rPr>
        <w:t xml:space="preserve">：</w:t>
      </w:r>
      <w:r/>
    </w:p>
    <w:p>
      <w:pPr>
        <w:ind w:firstLine="480"/>
        <w:spacing w:line="560" w:lineRule="exact"/>
        <w:rPr>
          <w:rFonts w:hint="eastAsia" w:ascii="宋体" w:hAnsi="宋体"/>
          <w:bCs/>
          <w:color w:val="000000" w:themeColor="text1"/>
          <w:sz w:val="24"/>
          <w:szCs w:val="24"/>
        </w:rPr>
      </w:pPr>
      <w:r>
        <w:rPr>
          <w:rFonts w:hint="eastAsia" w:ascii="宋体" w:hAnsi="宋体"/>
          <w:bCs/>
          <w:color w:val="000000" w:themeColor="text1"/>
          <w:sz w:val="24"/>
          <w:szCs w:val="24"/>
          <w:lang w:val="en-US" w:eastAsia="zh-CN"/>
        </w:rPr>
        <w:t xml:space="preserve">8.1</w:t>
      </w:r>
      <w:r>
        <w:rPr>
          <w:rFonts w:hint="eastAsia" w:ascii="宋体" w:hAnsi="宋体"/>
          <w:bCs/>
          <w:color w:val="000000" w:themeColor="text1"/>
          <w:sz w:val="24"/>
          <w:szCs w:val="24"/>
        </w:rPr>
        <w:t xml:space="preserve">质保：整套家具质保</w:t>
      </w:r>
      <w:r>
        <w:rPr>
          <w:rFonts w:hint="eastAsia" w:ascii="宋体" w:hAnsi="宋体"/>
          <w:bCs/>
          <w:color w:val="000000" w:themeColor="text1"/>
          <w:sz w:val="24"/>
          <w:szCs w:val="24"/>
          <w:lang w:val="en-US" w:eastAsia="zh-CN"/>
        </w:rPr>
        <w:t xml:space="preserve">5</w:t>
      </w:r>
      <w:r>
        <w:rPr>
          <w:rFonts w:hint="eastAsia" w:ascii="宋体" w:hAnsi="宋体"/>
          <w:bCs/>
          <w:color w:val="000000" w:themeColor="text1"/>
          <w:sz w:val="24"/>
          <w:szCs w:val="24"/>
        </w:rPr>
        <w:t xml:space="preserve">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供应商与校方签订正式合同，且完全满足校方各项要求后，方可组织供货、发货。供货安装完毕后，由学校进行初步验收。学校验收合格后，由成交供应商向采购单位提出书面验收申请，采购单位在收到成交供应商提交的书面项目验收申请后</w:t>
      </w: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个工作日内，将组织验收小组根据采购合同和供应商响应文件对供应商所供货物进行验收。验收中如有疑问，设备（产品）厂商技术工程师需当场予以解答。如验收时发现所供货物的数量、技术参数等与采购合同不一致等，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w:t>
      </w:r>
      <w:r>
        <w:rPr>
          <w:rFonts w:ascii="SimSun" w:hAnsi="SimSun" w:eastAsia="SimSun" w:cs="SimSun"/>
          <w:b/>
          <w:color w:val="000000"/>
          <w:sz w:val="24"/>
        </w:rPr>
        <w:t xml:space="preserve">双方合同，并由相关质量监督部门进行处罚。因检测导致货物损坏的，由供应商免费补足，确保采购人正常使用。</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供货安装完毕后，由学校进行初步验收。学校验收合格后，由成交供应商向采购单位提出书面验收申请，采购单位在收到成交供应商提交的书面项目验收申请后7个工作日内，将组织验收小组根据采购合同和供应商响应文件对供应商所供货物进行验收。验收中如有疑问，设备</w:t>
      </w:r>
      <w:r>
        <w:rPr>
          <w:rFonts w:hint="eastAsia"/>
          <w:b/>
          <w:bCs/>
          <w:color w:val="000000"/>
          <w:sz w:val="24"/>
          <w:szCs w:val="24"/>
          <w:highlight w:val="none"/>
        </w:rPr>
        <w:t xml:space="preserve">（产品）厂商技术工程师需当场予以解答。如验收时发现所供货物的数量、技术参数等与采购合同不一致等，采购单位将向成交供应商签发整改通知书。成交供应商在收到整改通知书后七日内必须按要求整改，如再次不符合要求或逾期，采购人将视作项目整体验收不合格，并报相关部门进行处理。必要时，采购单位可邀请相关质量监督部门对成交供应商所供货物进行验收及检测，因检测发生的一切费用由成交供应商负责，如验收或检测发现所供货物不合格，将解除双方合同，并由相关质量监督部门进行处罚。因检测导致货物损坏的，由供应商免费补足，确保采购人正常使用。</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货物的质量和规格与合同规定不符的，在质量保证期内证明货物是有缺陷的，包括潜在的缺陷或使用不符合要求材料的，采购人有权提请当地质检部门进行检查，并根据当地质检部门检验报告以书面形式向卖方提出索赔。</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如部分不能通过验收的，成交供应商承诺需采取一切补救措施，所有费用由成交供应商承担。</w:t>
      </w:r>
      <w:r/>
    </w:p>
    <w:p>
      <w:pPr>
        <w:ind w:firstLine="480"/>
        <w:spacing w:line="500" w:lineRule="atLeast"/>
        <w:rPr>
          <w:rFonts w:hint="eastAsia"/>
          <w:b/>
          <w:bCs/>
          <w:color w:val="000000"/>
          <w:sz w:val="24"/>
          <w:szCs w:val="24"/>
          <w:highlight w:val="none"/>
        </w:rPr>
        <w:outlineLvl w:val="0"/>
      </w:pPr>
      <w:r>
        <w:rPr>
          <w:rFonts w:hint="eastAsia"/>
          <w:b/>
          <w:bCs/>
          <w:color w:val="000000"/>
          <w:sz w:val="24"/>
          <w:szCs w:val="24"/>
          <w:highlight w:val="none"/>
        </w:rPr>
        <w:t xml:space="preserve">验收合格，采购人出具验收报告，作为支付货款的依据。</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8.2</w:t>
      </w:r>
      <w:r>
        <w:rPr>
          <w:rFonts w:hint="eastAsia" w:ascii="宋体" w:hAnsi="宋体"/>
          <w:bCs/>
          <w:color w:val="000000" w:themeColor="text1"/>
          <w:sz w:val="24"/>
          <w:szCs w:val="24"/>
        </w:rPr>
        <w:t xml:space="preserve">包装要求： </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8.2.1</w:t>
      </w:r>
      <w:r>
        <w:rPr>
          <w:rFonts w:hint="eastAsia" w:ascii="宋体" w:hAnsi="宋体"/>
          <w:bCs/>
          <w:color w:val="000000" w:themeColor="text1"/>
          <w:sz w:val="24"/>
          <w:szCs w:val="24"/>
        </w:rPr>
        <w:t xml:space="preserve">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（1）商品包装层数不得超过3层，空隙率不大于40%；</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（2）商品包装尽可能使用单一材质的包装材料，如因功能需求必需使用不同材质，不同材质间应便于分离；</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（3）商品包装中铅、汞、镉、六价铬的总含量应不大于100mg/kg；</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（4）商品包装印刷使用的油墨中挥发性有机化合物(VOCs)含量应不大于5%（以重量计）；</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（5）塑料材质商品包装上呈现的印刷颜色不得超过6色；</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（6）纸质商品包装应使用75%以上的可再生纤维原料生产；</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（7）木质商品包装的原料应来源于可持续性森林。</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8.3</w:t>
      </w:r>
      <w:r>
        <w:rPr>
          <w:rFonts w:hint="eastAsia" w:ascii="宋体" w:hAnsi="宋体"/>
          <w:bCs/>
          <w:color w:val="000000" w:themeColor="text1"/>
          <w:sz w:val="24"/>
          <w:szCs w:val="24"/>
        </w:rPr>
        <w:t xml:space="preserve">快递包装环保要求：</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（1）快递包装中重金属（铅、汞、镉、六价铬）总量应不大于100mg/kg；</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（2）快递包装印刷使用的油墨中不应添加邻苯二甲酸酯，其挥发性有机化合物(VOCs)含量应不大于5%（以重量计）；</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（3）快递包装中使用纸基材的包装材料，纸基材中的有机氯的含量应不大于150 mg/kg；</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（5）快递中使用的塑料包装袋不得使用聚氯乙烯作为原料，且原料应为单一材质制成，生物分解率大于60%；</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（6）快递中使用的充气类填充物不得使用聚氯乙烯作为 原料，且原料为单一材质制成，生物分解率大于60%；</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（7）快递中使用的集装袋应为单一材质制成，其重复使用次数应不小于 80 次；</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（8）快递中应使用幅宽不大于45mm 的生物降解胶带；</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（9）快递包装中不得使用溶剂型胶粘剂；</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（11）快递应使用电子面单；</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（12）直接使用商品包装作为快递包装的商品，其商品包装满足《商品包装政府采购需求标准（试行）》即可；</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（13）快递包装产品质量和封装方式应符合相关国家或行业标准技术指标要求。</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8.4</w:t>
      </w:r>
      <w:r>
        <w:rPr>
          <w:rFonts w:hint="eastAsia" w:ascii="宋体" w:hAnsi="宋体"/>
          <w:bCs/>
          <w:color w:val="000000" w:themeColor="text1"/>
          <w:sz w:val="24"/>
          <w:szCs w:val="24"/>
        </w:rPr>
        <w:t xml:space="preserve">绿色数据中心</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w:t>
      </w:r>
      <w:r>
        <w:rPr>
          <w:rFonts w:hint="eastAsia" w:ascii="宋体" w:hAnsi="宋体"/>
          <w:bCs/>
          <w:color w:val="000000" w:themeColor="text1"/>
          <w:sz w:val="24"/>
          <w:szCs w:val="24"/>
        </w:rPr>
        <w:t xml:space="preserve">.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w:t>
      </w:r>
      <w:r>
        <w:rPr>
          <w:rFonts w:hint="eastAsia" w:ascii="宋体" w:hAnsi="宋体"/>
          <w:bCs/>
          <w:color w:val="000000" w:themeColor="text1"/>
          <w:sz w:val="24"/>
          <w:szCs w:val="24"/>
        </w:rPr>
        <w:t xml:space="preserve">.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8</w:t>
      </w:r>
      <w:r>
        <w:rPr>
          <w:rFonts w:hint="eastAsia" w:ascii="宋体" w:hAnsi="宋体"/>
          <w:bCs/>
          <w:color w:val="000000" w:themeColor="text1"/>
          <w:sz w:val="24"/>
          <w:szCs w:val="24"/>
        </w:rPr>
        <w:t xml:space="preserve">.7绿色低碳管理目标和服务要求：在物业、合同能源管理等服务类采购项目需求中，要强化绿色低碳管理目标和服务要求，促进绿色产品和服务推广应用。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lang w:val="en-US" w:eastAsia="zh-CN"/>
        </w:rPr>
        <w:t xml:space="preserve">9</w:t>
      </w:r>
      <w:r>
        <w:rPr>
          <w:rFonts w:hint="eastAsia" w:ascii="宋体" w:hAnsi="宋体"/>
          <w:bCs/>
          <w:color w:val="000000" w:themeColor="text1"/>
          <w:sz w:val="24"/>
          <w:szCs w:val="24"/>
        </w:rPr>
        <w:t xml:space="preserve">.（1）非单一产品采购项目，采购标的中的核心产品</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学生公寓家具</w:t>
      </w:r>
      <w:r>
        <w:rPr>
          <w:rFonts w:hint="eastAsia" w:ascii="宋体" w:hAnsi="宋体"/>
          <w:bCs/>
          <w:color w:val="000000" w:themeColor="text1"/>
          <w:sz w:val="24"/>
          <w:szCs w:val="24"/>
          <w:highlight w:val="none"/>
        </w:rPr>
        <w:t xml:space="preserve">。</w:t>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（2）本项目的主要标的：</w:t>
      </w:r>
      <w:r>
        <w:rPr>
          <w:rFonts w:hint="eastAsia" w:ascii="宋体" w:hAnsi="宋体"/>
          <w:bCs/>
          <w:color w:val="000000" w:themeColor="text1"/>
          <w:sz w:val="24"/>
          <w:szCs w:val="24"/>
          <w:highlight w:val="none"/>
          <w:lang w:val="en-US" w:eastAsia="zh-CN"/>
        </w:rPr>
        <w:t xml:space="preserve">学生公寓家具</w:t>
      </w:r>
      <w:r>
        <w:rPr>
          <w:rFonts w:hint="eastAsia" w:ascii="宋体" w:hAnsi="宋体"/>
          <w:bCs/>
          <w:color w:val="000000" w:themeColor="text1"/>
          <w:sz w:val="24"/>
          <w:szCs w:val="24"/>
          <w:highlight w:val="none"/>
        </w:rPr>
        <w:t xml:space="preserve">。</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10</w:t>
      </w:r>
      <w:r>
        <w:rPr>
          <w:rFonts w:hint="eastAsia" w:ascii="宋体" w:hAnsi="宋体"/>
          <w:bCs/>
          <w:color w:val="000000" w:themeColor="text1"/>
          <w:sz w:val="24"/>
          <w:szCs w:val="24"/>
        </w:rPr>
        <w:t xml:space="preserve">.采购需求中必须满足的实质性要求：详见第三章项目需求。</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lang w:val="en-US" w:eastAsia="zh-CN"/>
        </w:rPr>
        <w:t xml:space="preserve">11</w:t>
      </w:r>
      <w:r>
        <w:rPr>
          <w:rFonts w:hint="eastAsia" w:ascii="宋体" w:hAnsi="宋体"/>
          <w:bCs/>
          <w:color w:val="000000" w:themeColor="text1"/>
          <w:sz w:val="24"/>
          <w:szCs w:val="24"/>
        </w:rPr>
        <w:t xml:space="preserve">.付款方式</w:t>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付款方式:签订合同30日内，预付合同价的30%，待货物和服务到位验收合格后在10个工作日内一次性付清所有款项。</w:t>
      </w:r>
      <w:r/>
    </w:p>
    <w:p>
      <w:pPr>
        <w:ind w:firstLine="480"/>
        <w:spacing w:line="500" w:lineRule="exact"/>
        <w:rPr>
          <w:rFonts w:ascii="宋体" w:hAnsi="宋体"/>
          <w:color w:val="000000" w:themeColor="text1"/>
          <w:sz w:val="24"/>
          <w:szCs w:val="24"/>
        </w:rPr>
      </w:pPr>
      <w:r>
        <w:rPr>
          <w:rFonts w:hint="eastAsia" w:ascii="宋体" w:hAnsi="宋体"/>
          <w:bCs/>
          <w:color w:val="000000" w:themeColor="text1"/>
          <w:sz w:val="24"/>
          <w:szCs w:val="24"/>
          <w:lang w:val="en-US" w:eastAsia="zh-CN"/>
        </w:rPr>
        <w:t xml:space="preserve">12</w:t>
      </w:r>
      <w:r>
        <w:rPr>
          <w:rFonts w:hint="eastAsia" w:ascii="宋体" w:hAnsi="宋体"/>
          <w:bCs/>
          <w:color w:val="000000" w:themeColor="text1"/>
          <w:sz w:val="24"/>
          <w:szCs w:val="24"/>
        </w:rPr>
        <w:t xml:space="preserve">.履约保证金：</w:t>
      </w:r>
      <w:r>
        <w:rPr>
          <w:rFonts w:ascii="宋体" w:hAnsi="宋体"/>
          <w:color w:val="000000" w:themeColor="text1"/>
          <w:sz w:val="24"/>
          <w:szCs w:val="24"/>
        </w:rPr>
        <w:t xml:space="preserve">不收取。</w:t>
      </w:r>
      <w:r/>
    </w:p>
    <w:p>
      <w:pPr>
        <w:ind w:firstLine="480"/>
        <w:spacing w:line="56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lang w:val="en-US" w:eastAsia="zh-CN"/>
        </w:rPr>
        <w:t xml:space="preserve">3</w:t>
      </w:r>
      <w:r>
        <w:rPr>
          <w:rFonts w:hint="eastAsia" w:ascii="宋体" w:hAnsi="宋体"/>
          <w:color w:val="000000" w:themeColor="text1"/>
          <w:sz w:val="24"/>
          <w:szCs w:val="24"/>
        </w:rPr>
        <w:t xml:space="preserve">.合同条款（详见附件）</w:t>
      </w:r>
      <w:r/>
    </w:p>
    <w:p>
      <w:pPr>
        <w:spacing w:line="560" w:lineRule="exact"/>
        <w:rPr>
          <w:rFonts w:ascii="宋体" w:hAnsi="宋体"/>
          <w:color w:val="000000" w:themeColor="text1"/>
          <w:sz w:val="24"/>
          <w:szCs w:val="24"/>
        </w:rPr>
      </w:pPr>
      <w:r>
        <w:rPr>
          <w:rFonts w:ascii="宋体" w:hAnsi="宋体"/>
          <w:color w:val="000000" w:themeColor="text1"/>
          <w:sz w:val="24"/>
          <w:szCs w:val="24"/>
        </w:rPr>
      </w:r>
      <w:r/>
    </w:p>
    <w:p>
      <w:pPr>
        <w:spacing w:line="560" w:lineRule="exact"/>
        <w:rPr>
          <w:rFonts w:ascii="宋体" w:hAnsi="宋体"/>
          <w:color w:val="000000" w:themeColor="text1"/>
          <w:sz w:val="24"/>
          <w:szCs w:val="24"/>
        </w:rPr>
      </w:pPr>
      <w:r>
        <w:rPr>
          <w:rFonts w:ascii="宋体" w:hAnsi="宋体"/>
          <w:color w:val="000000" w:themeColor="text1"/>
          <w:sz w:val="24"/>
          <w:szCs w:val="24"/>
        </w:rPr>
      </w:r>
      <w:r/>
    </w:p>
    <w:p>
      <w:pPr>
        <w:ind w:firstLine="879"/>
        <w:jc w:val="center"/>
        <w:spacing w:line="560" w:lineRule="exact"/>
        <w:rPr>
          <w:rFonts w:ascii="黑体" w:eastAsia="黑体"/>
          <w:bCs/>
          <w:color w:val="000000" w:themeColor="text1"/>
          <w:sz w:val="44"/>
          <w:szCs w:val="28"/>
        </w:rPr>
        <w:outlineLvl w:val="0"/>
      </w:pPr>
      <w:r/>
      <w:bookmarkStart w:id="195" w:name="_Toc120614281"/>
      <w:r/>
      <w:r/>
    </w:p>
    <w:p>
      <w:pPr>
        <w:jc w:val="left"/>
        <w:widowControl/>
        <w:rPr>
          <w:rFonts w:ascii="黑体" w:eastAsia="黑体"/>
          <w:bCs/>
          <w:color w:val="000000" w:themeColor="text1"/>
          <w:sz w:val="44"/>
          <w:szCs w:val="28"/>
        </w:rPr>
      </w:pPr>
      <w:r>
        <w:rPr>
          <w:rFonts w:ascii="黑体" w:eastAsia="黑体"/>
          <w:bCs/>
          <w:color w:val="000000" w:themeColor="text1"/>
          <w:sz w:val="44"/>
          <w:szCs w:val="28"/>
        </w:rPr>
        <w:br w:type="page" w:clear="all"/>
      </w:r>
      <w:r/>
    </w:p>
    <w:p>
      <w:pPr>
        <w:ind w:firstLine="879"/>
        <w:jc w:val="center"/>
        <w:spacing w:line="560" w:lineRule="exact"/>
        <w:rPr>
          <w:rFonts w:ascii="黑体" w:eastAsia="黑体"/>
          <w:b/>
          <w:bCs/>
          <w:color w:val="000000" w:themeColor="text1"/>
          <w:sz w:val="44"/>
          <w:szCs w:val="28"/>
        </w:rPr>
        <w:outlineLvl w:val="0"/>
      </w:pPr>
      <w:r>
        <w:rPr>
          <w:rFonts w:hint="eastAsia" w:ascii="黑体" w:eastAsia="黑体"/>
          <w:bCs/>
          <w:color w:val="000000" w:themeColor="text1"/>
          <w:sz w:val="44"/>
          <w:szCs w:val="28"/>
        </w:rPr>
        <w:t xml:space="preserve">第四章  </w:t>
      </w:r>
      <w:r>
        <w:rPr>
          <w:rFonts w:hint="eastAsia" w:ascii="黑体" w:eastAsia="黑体"/>
          <w:b/>
          <w:bCs/>
          <w:color w:val="000000" w:themeColor="text1"/>
          <w:sz w:val="44"/>
          <w:szCs w:val="28"/>
        </w:rPr>
        <w:t xml:space="preserve">评审方法与评审标准</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评委在认真审阅响应文件的基础上，根据各响应文件的响应程度独立评判，不得统一打分。</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（一）采购人（代表）对供应商资格进行审查。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供应商资格不合格的，其响应文件判定为无效响应文件。</w:t>
      </w:r>
      <w:r/>
    </w:p>
    <w:p>
      <w:pPr>
        <w:ind w:firstLine="482"/>
        <w:spacing w:line="500" w:lineRule="exact"/>
        <w:rPr>
          <w:rFonts w:ascii="宋体" w:hAnsi="宋体"/>
          <w:b/>
          <w:color w:val="000000" w:themeColor="text1"/>
          <w:sz w:val="24"/>
          <w:szCs w:val="24"/>
        </w:rPr>
      </w:pPr>
      <w:r>
        <w:rPr>
          <w:rFonts w:hint="eastAsia" w:ascii="宋体" w:hAnsi="宋体"/>
          <w:b/>
          <w:color w:val="000000" w:themeColor="text1"/>
          <w:sz w:val="24"/>
          <w:szCs w:val="24"/>
        </w:rPr>
        <w:t xml:space="preserve">（二）磋商小组对符合资格供应商的响应文件进行符合性审查。</w:t>
      </w:r>
      <w:r/>
    </w:p>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未通过符合性审查的响应文件，将被判为不满足磋商文件实质性要求。 </w:t>
      </w:r>
      <w:r/>
    </w:p>
    <w:p>
      <w:pPr>
        <w:ind w:firstLine="482"/>
        <w:spacing w:line="500" w:lineRule="exact"/>
        <w:rPr>
          <w:rFonts w:ascii="宋体" w:hAnsi="宋体" w:cs="宋体"/>
          <w:b/>
          <w:color w:val="000000" w:themeColor="text1"/>
          <w:sz w:val="24"/>
          <w:szCs w:val="24"/>
        </w:rPr>
      </w:pPr>
      <w:r>
        <w:rPr>
          <w:rFonts w:hint="eastAsia" w:ascii="宋体" w:hAnsi="宋体"/>
          <w:b/>
          <w:color w:val="000000" w:themeColor="text1"/>
          <w:sz w:val="24"/>
          <w:szCs w:val="24"/>
        </w:rPr>
        <w:t xml:space="preserve">（三）</w:t>
      </w:r>
      <w:r>
        <w:rPr>
          <w:rFonts w:hint="eastAsia" w:ascii="宋体" w:hAnsi="宋体" w:cs="宋体"/>
          <w:b/>
          <w:color w:val="000000" w:themeColor="text1"/>
          <w:sz w:val="24"/>
          <w:szCs w:val="24"/>
        </w:rPr>
        <w:t xml:space="preserve">商务技术分：</w:t>
      </w:r>
      <w:r>
        <w:rPr>
          <w:rFonts w:hint="eastAsia" w:ascii="宋体" w:hAnsi="宋体" w:cs="宋体"/>
          <w:b/>
          <w:color w:val="000000" w:themeColor="text1"/>
          <w:sz w:val="24"/>
          <w:szCs w:val="24"/>
          <w:lang w:val="en-US" w:eastAsia="zh-CN"/>
        </w:rPr>
        <w:t xml:space="preserve">6</w:t>
      </w:r>
      <w:r>
        <w:rPr>
          <w:rFonts w:hint="eastAsia" w:ascii="宋体" w:hAnsi="宋体" w:cs="宋体"/>
          <w:b/>
          <w:color w:val="000000" w:themeColor="text1"/>
          <w:sz w:val="24"/>
          <w:szCs w:val="24"/>
        </w:rPr>
        <w:t xml:space="preserve">0分</w:t>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各供应商得分为磋商小组成员评分的算术平均分，分值保留小数点后两位。</w:t>
      </w:r>
      <w:r/>
    </w:p>
    <w:tbl>
      <w:tblPr>
        <w:tblStyle w:val="69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19"/>
        <w:gridCol w:w="1064"/>
        <w:gridCol w:w="830"/>
        <w:gridCol w:w="7349"/>
      </w:tblGrid>
      <w:tr>
        <w:trPr>
          <w:trHeight w:val="255"/>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评分点名称</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评审标准</w:t>
            </w:r>
            <w:r/>
          </w:p>
        </w:tc>
      </w:tr>
      <w:tr>
        <w:trPr>
          <w:trHeight w:val="360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检测报告</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宋体" w:hAnsi="宋体" w:eastAsia="宋体" w:cs="宋体"/>
                <w:sz w:val="24"/>
                <w:lang w:eastAsia="zh-CN"/>
              </w:rPr>
            </w:pPr>
            <w:r>
              <w:rPr>
                <w:rFonts w:hint="eastAsia" w:ascii="宋体" w:hAnsi="宋体" w:cs="宋体"/>
                <w:sz w:val="24"/>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lang w:eastAsia="zh-CN"/>
              </w:rPr>
              <w:t xml:space="preserve">一</w:t>
            </w:r>
            <w:r>
              <w:rPr>
                <w:rFonts w:hint="eastAsia" w:ascii="宋体" w:hAnsi="宋体" w:cs="宋体"/>
                <w:sz w:val="24"/>
              </w:rPr>
              <w:t xml:space="preserve">、宿舍专用家具专项检测报告（</w:t>
            </w:r>
            <w:r>
              <w:rPr>
                <w:rFonts w:hint="eastAsia" w:ascii="宋体" w:hAnsi="宋体" w:cs="宋体"/>
                <w:sz w:val="24"/>
                <w:lang w:val="en-US" w:eastAsia="zh-CN"/>
              </w:rPr>
              <w:t xml:space="preserve">4</w:t>
            </w:r>
            <w:r>
              <w:rPr>
                <w:rFonts w:hint="eastAsia" w:ascii="宋体" w:hAnsi="宋体" w:cs="宋体"/>
                <w:sz w:val="24"/>
              </w:rPr>
              <w:t xml:space="preserve">分）</w:t>
            </w:r>
            <w:r/>
          </w:p>
          <w:p>
            <w:pP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学生公寓床</w:t>
            </w:r>
            <w:r>
              <w:rPr>
                <w:rFonts w:hint="eastAsia" w:ascii="宋体" w:hAnsi="宋体" w:cs="宋体"/>
                <w:sz w:val="24"/>
              </w:rPr>
              <w:t xml:space="preserve">需提供《学生公寓多功能家具》（QB/T 2741-2013）全项检测报告</w:t>
            </w:r>
            <w:r>
              <w:rPr>
                <w:rFonts w:hint="eastAsia" w:ascii="宋体" w:hAnsi="宋体" w:cs="宋体"/>
                <w:sz w:val="24"/>
                <w:lang w:eastAsia="zh-CN"/>
              </w:rPr>
              <w:t xml:space="preserve">，</w:t>
            </w:r>
            <w:r>
              <w:rPr>
                <w:rFonts w:hint="eastAsia" w:ascii="宋体" w:hAnsi="宋体" w:cs="宋体"/>
                <w:sz w:val="24"/>
              </w:rPr>
              <w:t xml:space="preserve">检测结果合格</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2</w:t>
            </w:r>
            <w:r>
              <w:rPr>
                <w:rFonts w:hint="eastAsia" w:ascii="宋体" w:hAnsi="宋体" w:cs="宋体"/>
                <w:sz w:val="24"/>
              </w:rPr>
              <w:t xml:space="preserve">分；未提供或检测项目缺失、结果不合格均不得分；</w:t>
            </w:r>
            <w:r/>
          </w:p>
          <w:p>
            <w:pPr>
              <w:spacing w:line="440" w:lineRule="exact"/>
              <w:rPr>
                <w:rFonts w:hint="eastAsia" w:ascii="宋体" w:hAnsi="宋体" w:cs="宋体"/>
                <w:sz w:val="24"/>
              </w:rPr>
            </w:pPr>
            <w:r>
              <w:rPr>
                <w:rFonts w:hint="eastAsia" w:ascii="宋体" w:hAnsi="宋体" w:cs="宋体"/>
                <w:sz w:val="24"/>
              </w:rPr>
              <w:t xml:space="preserve">2.所有木制家具需提供《木家具通用技术条件》（GB/T 3324-2024）全项检测报告（含含水率、漆膜附着力、耐磨、耐液、外观质量等指标）</w:t>
            </w:r>
            <w:r>
              <w:rPr>
                <w:rFonts w:hint="eastAsia" w:ascii="宋体" w:hAnsi="宋体" w:cs="宋体"/>
                <w:sz w:val="24"/>
                <w:lang w:eastAsia="zh-CN"/>
              </w:rPr>
              <w:t xml:space="preserve">，</w:t>
            </w:r>
            <w:r>
              <w:rPr>
                <w:rFonts w:hint="eastAsia" w:ascii="宋体" w:hAnsi="宋体" w:cs="宋体"/>
                <w:sz w:val="24"/>
              </w:rPr>
              <w:t xml:space="preserve">检测结果合格得</w:t>
            </w:r>
            <w:r>
              <w:rPr>
                <w:rFonts w:hint="eastAsia" w:ascii="宋体" w:hAnsi="宋体" w:cs="宋体"/>
                <w:sz w:val="24"/>
                <w:lang w:val="en-US" w:eastAsia="zh-CN"/>
              </w:rPr>
              <w:t xml:space="preserve">2</w:t>
            </w:r>
            <w:r>
              <w:rPr>
                <w:rFonts w:hint="eastAsia" w:ascii="宋体" w:hAnsi="宋体" w:cs="宋体"/>
                <w:sz w:val="24"/>
              </w:rPr>
              <w:t xml:space="preserve">分；未提供或检测项目缺失、结果不合格均不得分。</w:t>
            </w:r>
            <w:r/>
          </w:p>
          <w:p>
            <w:pPr>
              <w:spacing w:line="440" w:lineRule="exact"/>
              <w:rPr>
                <w:rFonts w:hint="eastAsia" w:ascii="宋体" w:hAnsi="宋体" w:cs="宋体"/>
                <w:sz w:val="24"/>
              </w:rPr>
            </w:pPr>
            <w:r>
              <w:rPr>
                <w:rFonts w:hint="eastAsia" w:ascii="宋体" w:hAnsi="宋体" w:cs="宋体"/>
                <w:sz w:val="24"/>
                <w:lang w:eastAsia="zh-CN"/>
              </w:rPr>
              <w:t xml:space="preserve">二</w:t>
            </w:r>
            <w:r>
              <w:rPr>
                <w:rFonts w:hint="eastAsia" w:ascii="宋体" w:hAnsi="宋体" w:cs="宋体"/>
                <w:sz w:val="24"/>
              </w:rPr>
              <w:t xml:space="preserve">、家具力学性能检测报告（</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440" w:lineRule="exact"/>
              <w:rPr>
                <w:rFonts w:hint="eastAsia" w:ascii="宋体" w:hAnsi="宋体" w:cs="宋体"/>
                <w:sz w:val="24"/>
              </w:rPr>
            </w:pPr>
            <w:r>
              <w:rPr>
                <w:rFonts w:hint="eastAsia" w:ascii="宋体" w:hAnsi="宋体" w:cs="宋体"/>
                <w:sz w:val="24"/>
              </w:rPr>
              <w:t xml:space="preserve">提供《家具力学性能试验》（GB/T 10357 系列）全项检测报告（含静载荷、冲击强度、疲劳耐久</w:t>
            </w:r>
            <w:r>
              <w:rPr>
                <w:rFonts w:hint="eastAsia" w:ascii="宋体" w:hAnsi="宋体" w:cs="宋体"/>
                <w:sz w:val="24"/>
                <w:lang w:val="en-US" w:eastAsia="zh-CN"/>
              </w:rPr>
              <w:t xml:space="preserve">2</w:t>
            </w:r>
            <w:r>
              <w:rPr>
                <w:rFonts w:hint="eastAsia" w:ascii="宋体" w:hAnsi="宋体" w:cs="宋体"/>
                <w:sz w:val="24"/>
              </w:rPr>
              <w:t xml:space="preserve">性、产品稳定性、抽屉滑道性能等核心项目），检测结果合格得</w:t>
            </w:r>
            <w:r>
              <w:rPr>
                <w:rFonts w:hint="eastAsia" w:ascii="宋体" w:hAnsi="宋体" w:cs="宋体"/>
                <w:sz w:val="24"/>
                <w:lang w:val="en-US" w:eastAsia="zh-CN"/>
              </w:rPr>
              <w:t xml:space="preserve">2</w:t>
            </w:r>
            <w:r>
              <w:rPr>
                <w:rFonts w:hint="eastAsia" w:ascii="宋体" w:hAnsi="宋体" w:cs="宋体"/>
                <w:sz w:val="24"/>
              </w:rPr>
              <w:t xml:space="preserve">分；未提供或检测项目缺失、结果不合格均不得分。</w:t>
            </w:r>
            <w:r/>
          </w:p>
          <w:p>
            <w:pPr>
              <w:spacing w:line="440" w:lineRule="exact"/>
              <w:rPr>
                <w:rFonts w:hint="eastAsia" w:ascii="宋体" w:hAnsi="宋体" w:cs="宋体"/>
                <w:sz w:val="24"/>
                <w:lang w:val="en-US" w:eastAsia="zh-CN"/>
              </w:rPr>
            </w:pPr>
            <w:r>
              <w:rPr>
                <w:rFonts w:hint="eastAsia" w:ascii="宋体" w:hAnsi="宋体" w:cs="宋体"/>
                <w:sz w:val="24"/>
                <w:lang w:val="en-US" w:eastAsia="zh-CN"/>
              </w:rPr>
              <w:t xml:space="preserve">三、阻燃性能（2 分）</w:t>
            </w:r>
            <w:r/>
          </w:p>
          <w:p>
            <w:pPr>
              <w:spacing w:line="440" w:lineRule="exact"/>
              <w:rPr>
                <w:rFonts w:hint="default" w:ascii="宋体" w:hAnsi="宋体" w:eastAsia="宋体" w:cs="宋体"/>
                <w:sz w:val="24"/>
                <w:lang w:val="en-US" w:eastAsia="zh-CN"/>
              </w:rPr>
            </w:pPr>
            <w:r>
              <w:rPr>
                <w:rFonts w:hint="default" w:ascii="宋体" w:hAnsi="宋体" w:eastAsia="宋体" w:cs="宋体"/>
                <w:sz w:val="24"/>
                <w:lang w:val="en-US" w:eastAsia="zh-CN"/>
              </w:rPr>
              <w:t xml:space="preserve">产品经阻燃工艺处理、检测达到阻燃Ⅰ级并提供有效 CMA 检测报告的得2分；未提供有效检测报告不得分。</w: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widowControl/>
              <w:rPr>
                <w:rFonts w:hint="default" w:ascii="黑体" w:hAnsi="黑体" w:eastAsia="黑体" w:cs="宋体"/>
                <w:sz w:val="20"/>
                <w:szCs w:val="20"/>
                <w:lang w:val="en-US" w:eastAsia="zh-CN"/>
              </w:rPr>
            </w:pPr>
            <w:r>
              <w:rPr>
                <w:rFonts w:hint="eastAsia" w:ascii="宋体" w:hAnsi="宋体" w:eastAsia="宋体" w:cs="宋体"/>
                <w:sz w:val="24"/>
                <w:lang w:val="en-US" w:eastAsia="zh-CN"/>
              </w:rPr>
              <w:t xml:space="preserve">项目实施方案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jc w:val="center"/>
              <w:widowControl/>
              <w:rPr>
                <w:rFonts w:hint="eastAsia" w:ascii="黑体" w:hAnsi="黑体" w:eastAsia="黑体" w:cs="宋体"/>
                <w:sz w:val="20"/>
                <w:szCs w:val="20"/>
                <w:lang w:val="en-US" w:eastAsia="zh-CN"/>
              </w:rPr>
            </w:pPr>
            <w:r>
              <w:rPr>
                <w:rFonts w:hint="eastAsia" w:ascii="宋体" w:hAnsi="宋体" w:eastAsia="宋体" w:cs="宋体"/>
                <w:sz w:val="24"/>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top"/>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lang w:eastAsia="zh-CN"/>
              </w:rPr>
              <w:t xml:space="preserve">供应商</w:t>
            </w:r>
            <w:r>
              <w:rPr>
                <w:rFonts w:hint="eastAsia" w:ascii="宋体" w:hAnsi="宋体" w:eastAsia="宋体" w:cs="宋体"/>
                <w:sz w:val="24"/>
              </w:rPr>
              <w:t xml:space="preserve">针对本项目提供实施方案，包括①实施组织机构及管理制度、②实施进度计划及安排、③实施团队</w:t>
            </w:r>
            <w:r>
              <w:rPr>
                <w:rFonts w:hint="eastAsia" w:ascii="宋体" w:hAnsi="宋体" w:eastAsia="宋体" w:cs="宋体"/>
                <w:sz w:val="24"/>
                <w:lang w:eastAsia="zh-CN"/>
              </w:rPr>
              <w:t xml:space="preserve">；</w:t>
            </w:r>
            <w:r>
              <w:rPr>
                <w:rFonts w:hint="eastAsia" w:ascii="宋体" w:hAnsi="宋体" w:eastAsia="宋体" w:cs="宋体"/>
                <w:sz w:val="24"/>
              </w:rPr>
              <w:t xml:space="preserve">每项得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分，共计</w:t>
            </w:r>
            <w:r>
              <w:rPr>
                <w:rFonts w:hint="eastAsia" w:ascii="宋体" w:hAnsi="宋体" w:eastAsia="宋体" w:cs="宋体"/>
                <w:sz w:val="24"/>
                <w:lang w:val="en-US" w:eastAsia="zh-CN"/>
              </w:rPr>
              <w:t xml:space="preserve">9</w:t>
            </w:r>
            <w:r>
              <w:rPr>
                <w:rFonts w:hint="eastAsia" w:ascii="宋体" w:hAnsi="宋体" w:eastAsia="宋体" w:cs="宋体"/>
                <w:sz w:val="24"/>
              </w:rPr>
              <w:t xml:space="preserve">分，每有一项缺项的扣</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分，每有一项内容不完整或有缺陷的扣</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分，扣完为止，未提供不得分。</w:t>
            </w:r>
            <w:r/>
          </w:p>
          <w:p>
            <w:pPr>
              <w:spacing w:line="440" w:lineRule="exact"/>
              <w:rPr>
                <w:rFonts w:hint="eastAsia" w:ascii="宋体" w:hAnsi="宋体" w:cs="宋体"/>
                <w:sz w:val="24"/>
              </w:rPr>
            </w:pPr>
            <w:r>
              <w:rPr>
                <w:rFonts w:hint="eastAsia" w:ascii="宋体" w:hAnsi="宋体" w:eastAsia="宋体" w:cs="宋体"/>
                <w:sz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hint="eastAsia" w:ascii="宋体" w:hAnsi="宋体" w:cs="宋体"/>
                <w:sz w:val="24"/>
              </w:rPr>
              <w:t xml:space="preserve">生产加工方案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黑体" w:hAnsi="黑体" w:eastAsia="黑体" w:cs="宋体"/>
                <w:sz w:val="20"/>
                <w:szCs w:val="20"/>
                <w:lang w:val="en-US" w:eastAsia="zh-CN"/>
              </w:rPr>
            </w:pPr>
            <w:r>
              <w:rPr>
                <w:rFonts w:hint="eastAsia" w:ascii="宋体" w:hAnsi="宋体" w:eastAsia="宋体" w:cs="宋体"/>
                <w:sz w:val="24"/>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eastAsia="宋体" w:cs="宋体"/>
                <w:sz w:val="24"/>
                <w:lang w:eastAsia="zh-CN"/>
              </w:rPr>
            </w:pPr>
            <w:r>
              <w:rPr>
                <w:rFonts w:hint="eastAsia" w:ascii="宋体" w:hAnsi="宋体" w:cs="宋体"/>
                <w:sz w:val="24"/>
                <w:lang w:eastAsia="zh-CN"/>
              </w:rPr>
              <w:t xml:space="preserve">供应商</w:t>
            </w:r>
            <w:r>
              <w:rPr>
                <w:rFonts w:hint="eastAsia" w:ascii="宋体" w:hAnsi="宋体" w:cs="宋体"/>
                <w:sz w:val="24"/>
                <w:highlight w:val="none"/>
              </w:rPr>
              <w:t xml:space="preserve">（或投标产品生产厂家）</w:t>
            </w:r>
            <w:r>
              <w:rPr>
                <w:rFonts w:hint="eastAsia" w:ascii="宋体" w:hAnsi="宋体" w:cs="宋体"/>
                <w:sz w:val="24"/>
              </w:rPr>
              <w:t xml:space="preserve">针对本项目提供生产加工方案，包括①原材料采购及保障、②生产车间情况（提供</w:t>
            </w:r>
            <w:r>
              <w:rPr>
                <w:rFonts w:hint="eastAsia" w:ascii="宋体" w:hAnsi="宋体" w:eastAsia="宋体" w:cs="宋体"/>
                <w:sz w:val="24"/>
                <w:lang w:eastAsia="zh-CN"/>
              </w:rPr>
              <w:t xml:space="preserve">佐证材料）、③生产设备情况（提供佐证材料）；</w:t>
            </w:r>
            <w:r>
              <w:rPr>
                <w:rFonts w:hint="eastAsia" w:ascii="宋体" w:hAnsi="宋体" w:eastAsia="宋体" w:cs="宋体"/>
                <w:sz w:val="24"/>
              </w:rPr>
              <w:t xml:space="preserve">每项得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分，共计</w:t>
            </w:r>
            <w:r>
              <w:rPr>
                <w:rFonts w:hint="eastAsia" w:ascii="宋体" w:hAnsi="宋体" w:eastAsia="宋体" w:cs="宋体"/>
                <w:sz w:val="24"/>
                <w:lang w:val="en-US" w:eastAsia="zh-CN"/>
              </w:rPr>
              <w:t xml:space="preserve">9</w:t>
            </w:r>
            <w:r>
              <w:rPr>
                <w:rFonts w:hint="eastAsia" w:ascii="宋体" w:hAnsi="宋体" w:eastAsia="宋体" w:cs="宋体"/>
                <w:sz w:val="24"/>
              </w:rPr>
              <w:t xml:space="preserve">分，每有一项缺项的扣</w:t>
            </w:r>
            <w:r>
              <w:rPr>
                <w:rFonts w:hint="eastAsia" w:ascii="宋体" w:hAnsi="宋体" w:eastAsia="宋体" w:cs="宋体"/>
                <w:sz w:val="24"/>
                <w:lang w:val="en-US" w:eastAsia="zh-CN"/>
              </w:rPr>
              <w:t xml:space="preserve">3</w:t>
            </w:r>
            <w:r>
              <w:rPr>
                <w:rFonts w:hint="eastAsia" w:ascii="宋体" w:hAnsi="宋体" w:eastAsia="宋体" w:cs="宋体"/>
                <w:sz w:val="24"/>
              </w:rPr>
              <w:t xml:space="preserve">分，每有一项内容不完整或有缺陷的扣</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分，扣完为止，未提供不得分。</w:t>
            </w:r>
            <w:r/>
          </w:p>
          <w:p>
            <w:pPr>
              <w:spacing w:line="440" w:lineRule="exact"/>
              <w:rPr>
                <w:rFonts w:hint="eastAsia" w:ascii="宋体" w:hAnsi="宋体" w:cs="宋体"/>
                <w:sz w:val="24"/>
              </w:rPr>
            </w:pPr>
            <w:r>
              <w:rPr>
                <w:rFonts w:hint="eastAsia" w:ascii="宋体" w:hAnsi="宋体" w:eastAsia="宋体" w:cs="宋体"/>
                <w:sz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val="false"/>
          </w:tcPr>
          <w:p>
            <w:pPr>
              <w:jc w:val="center"/>
              <w:spacing w:line="440" w:lineRule="exact"/>
              <w:rPr>
                <w:rFonts w:ascii="黑体" w:hAnsi="黑体" w:eastAsia="黑体" w:cs="宋体"/>
                <w:sz w:val="20"/>
                <w:szCs w:val="20"/>
              </w:rPr>
            </w:pPr>
            <w:r>
              <w:rPr>
                <w:rFonts w:hint="eastAsia" w:ascii="宋体" w:hAnsi="宋体" w:cs="宋体"/>
                <w:sz w:val="24"/>
              </w:rPr>
              <w:t xml:space="preserve">配送、安装与调试方案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黑体" w:hAnsi="黑体" w:eastAsia="黑体" w:cs="宋体"/>
                <w:sz w:val="20"/>
                <w:szCs w:val="20"/>
                <w:lang w:val="en-US" w:eastAsia="zh-CN"/>
              </w:rPr>
            </w:pPr>
            <w:r>
              <w:rPr>
                <w:rFonts w:hint="eastAsia" w:ascii="宋体" w:hAnsi="宋体" w:eastAsia="宋体" w:cs="宋体"/>
                <w:sz w:val="24"/>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针对本项目提供安装与调试方案，包括①配送方案、②产品安装与调试及技术支撑方案、③安全文明安装及环境保护措施</w:t>
            </w:r>
            <w:r>
              <w:rPr>
                <w:rFonts w:hint="eastAsia" w:ascii="宋体" w:hAnsi="宋体" w:cs="宋体"/>
                <w:sz w:val="24"/>
                <w:lang w:eastAsia="zh-CN"/>
              </w:rPr>
              <w:t xml:space="preserve">；</w:t>
            </w:r>
            <w:r>
              <w:rPr>
                <w:rFonts w:hint="eastAsia" w:ascii="宋体" w:hAnsi="宋体" w:eastAsia="宋体" w:cs="宋体"/>
                <w:sz w:val="24"/>
              </w:rPr>
              <w:t xml:space="preserve">每项得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分，共计</w:t>
            </w:r>
            <w:r>
              <w:rPr>
                <w:rFonts w:hint="eastAsia" w:ascii="宋体" w:hAnsi="宋体" w:eastAsia="宋体" w:cs="宋体"/>
                <w:sz w:val="24"/>
                <w:lang w:val="en-US" w:eastAsia="zh-CN"/>
              </w:rPr>
              <w:t xml:space="preserve">6</w:t>
            </w:r>
            <w:r>
              <w:rPr>
                <w:rFonts w:hint="eastAsia" w:ascii="宋体" w:hAnsi="宋体" w:eastAsia="宋体" w:cs="宋体"/>
                <w:sz w:val="24"/>
              </w:rPr>
              <w:t xml:space="preserve">分，每有一项缺项的扣</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分，每有一项内容不完整或有缺陷的扣</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分，扣完为止，未提供不得分。</w:t>
            </w:r>
            <w:r/>
          </w:p>
          <w:p>
            <w:pPr>
              <w:jc w:val="left"/>
              <w:spacing w:line="400" w:lineRule="exact"/>
              <w:rPr>
                <w:rFonts w:hint="eastAsia" w:ascii="宋体" w:hAnsi="宋体" w:cs="宋体"/>
                <w:sz w:val="24"/>
              </w:rPr>
            </w:pPr>
            <w:r>
              <w:rPr>
                <w:rFonts w:hint="eastAsia" w:ascii="宋体" w:hAnsi="宋体" w:eastAsia="宋体" w:cs="Times New Roman"/>
                <w:color w:val="auto"/>
                <w:sz w:val="24"/>
                <w:szCs w:val="24"/>
                <w:highlight w:val="none"/>
                <w:lang w:eastAsia="zh-CN" w:bidi="ar"/>
              </w:rPr>
              <w:t xml:space="preserve">注：</w:t>
            </w:r>
            <w:r>
              <w:rPr>
                <w:rFonts w:hint="eastAsia" w:ascii="宋体" w:hAnsi="宋体" w:eastAsia="宋体" w:cs="Times New Roman"/>
                <w:color w:val="auto"/>
                <w:sz w:val="24"/>
                <w:szCs w:val="24"/>
                <w:highlight w:val="none"/>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92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hint="eastAsia" w:ascii="宋体" w:hAnsi="宋体" w:cs="宋体"/>
                <w:sz w:val="24"/>
              </w:rPr>
              <w:t xml:space="preserve">保障措施</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黑体" w:hAnsi="黑体" w:eastAsia="黑体" w:cs="宋体"/>
                <w:sz w:val="20"/>
                <w:szCs w:val="20"/>
                <w:lang w:val="en-US" w:eastAsia="zh-CN"/>
              </w:rPr>
            </w:pPr>
            <w:r>
              <w:rPr>
                <w:rFonts w:hint="eastAsia" w:ascii="宋体" w:hAnsi="宋体" w:eastAsia="宋体" w:cs="宋体"/>
                <w:sz w:val="24"/>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针对本项目提供保障措施，包括①质量控制的方法、工具及重点、②进度保障措施、③产品验收环节保障措施、④应急保障措施及应急服务响应时间、修复时间，</w:t>
            </w:r>
            <w:r>
              <w:rPr>
                <w:rFonts w:hint="eastAsia" w:ascii="宋体" w:hAnsi="宋体" w:eastAsia="宋体" w:cs="宋体"/>
                <w:sz w:val="24"/>
              </w:rPr>
              <w:t xml:space="preserve">每项得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分，共计</w:t>
            </w:r>
            <w:r>
              <w:rPr>
                <w:rFonts w:hint="eastAsia" w:ascii="宋体" w:hAnsi="宋体" w:eastAsia="宋体" w:cs="宋体"/>
                <w:sz w:val="24"/>
                <w:lang w:val="en-US" w:eastAsia="zh-CN"/>
              </w:rPr>
              <w:t xml:space="preserve">8</w:t>
            </w:r>
            <w:r>
              <w:rPr>
                <w:rFonts w:hint="eastAsia" w:ascii="宋体" w:hAnsi="宋体" w:eastAsia="宋体" w:cs="宋体"/>
                <w:sz w:val="24"/>
              </w:rPr>
              <w:t xml:space="preserve">分，每有一项缺项的扣</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分，每有一项内容不完整或有缺陷的扣</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分，扣完为止，未提供不得分。</w:t>
            </w:r>
            <w:r/>
          </w:p>
          <w:p>
            <w:pPr>
              <w:jc w:val="left"/>
              <w:spacing w:line="400" w:lineRule="exact"/>
              <w:rPr>
                <w:rFonts w:hint="eastAsia" w:ascii="宋体" w:hAnsi="宋体" w:cs="宋体"/>
                <w:sz w:val="24"/>
              </w:rPr>
            </w:pPr>
            <w:r>
              <w:rPr>
                <w:rFonts w:hint="eastAsia" w:ascii="宋体" w:hAnsi="宋体" w:eastAsia="宋体" w:cs="Times New Roman"/>
                <w:color w:val="auto"/>
                <w:sz w:val="24"/>
                <w:szCs w:val="24"/>
                <w:highlight w:val="none"/>
                <w:lang w:eastAsia="zh-CN" w:bidi="ar"/>
              </w:rPr>
              <w:t xml:space="preserve">注：</w:t>
            </w:r>
            <w:r>
              <w:rPr>
                <w:rFonts w:hint="eastAsia" w:ascii="宋体" w:hAnsi="宋体" w:eastAsia="宋体" w:cs="Times New Roman"/>
                <w:color w:val="auto"/>
                <w:sz w:val="24"/>
                <w:szCs w:val="24"/>
                <w:highlight w:val="none"/>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ascii="黑体" w:hAnsi="黑体" w:eastAsia="黑体" w:cs="宋体"/>
                <w:sz w:val="20"/>
                <w:szCs w:val="20"/>
              </w:rPr>
            </w:pPr>
            <w:r>
              <w:rPr>
                <w:rFonts w:hint="eastAsia" w:ascii="宋体" w:hAnsi="宋体" w:eastAsia="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hint="eastAsia" w:ascii="宋体" w:hAnsi="宋体" w:cs="宋体"/>
                <w:sz w:val="24"/>
              </w:rPr>
              <w:t xml:space="preserve">售后服务方案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黑体" w:hAnsi="黑体" w:eastAsia="黑体" w:cs="宋体"/>
                <w:sz w:val="20"/>
                <w:szCs w:val="20"/>
                <w:lang w:val="en-US" w:eastAsia="zh-CN"/>
              </w:rPr>
            </w:pPr>
            <w:r>
              <w:rPr>
                <w:rFonts w:hint="eastAsia" w:ascii="宋体" w:hAnsi="宋体" w:eastAsia="宋体" w:cs="宋体"/>
                <w:sz w:val="24"/>
                <w:lang w:val="en-US" w:eastAsia="zh-CN"/>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针对本项目提供售后服务方案，包括①售后服务内容、②服务保障体系、③售后服务人员的技术水平及现场服务措施、④日常维护保养、⑤备品备件清单及管理、⑥质保期满后的服务内容及收费标准，</w:t>
            </w:r>
            <w:r>
              <w:rPr>
                <w:rFonts w:hint="eastAsia" w:ascii="宋体" w:hAnsi="宋体" w:eastAsia="宋体" w:cs="宋体"/>
                <w:sz w:val="24"/>
              </w:rPr>
              <w:t xml:space="preserve">每项得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分，共计</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分，每有一项缺项的扣</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分，每有一项内容不完整或有缺陷的扣</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分，扣完为止，未提供不得分。</w:t>
            </w:r>
            <w:r/>
          </w:p>
          <w:p>
            <w:pPr>
              <w:jc w:val="left"/>
              <w:spacing w:line="400" w:lineRule="exact"/>
              <w:rPr>
                <w:rFonts w:hint="eastAsia" w:ascii="宋体" w:hAnsi="宋体" w:cs="宋体"/>
                <w:sz w:val="24"/>
              </w:rPr>
            </w:pPr>
            <w:r>
              <w:rPr>
                <w:rFonts w:hint="eastAsia" w:ascii="宋体" w:hAnsi="宋体" w:eastAsia="宋体" w:cs="Times New Roman"/>
                <w:color w:val="auto"/>
                <w:sz w:val="24"/>
                <w:szCs w:val="24"/>
                <w:highlight w:val="none"/>
                <w:lang w:eastAsia="zh-CN" w:bidi="ar"/>
              </w:rPr>
              <w:t xml:space="preserve">注：</w:t>
            </w:r>
            <w:r>
              <w:rPr>
                <w:rFonts w:hint="eastAsia" w:ascii="宋体" w:hAnsi="宋体" w:eastAsia="宋体" w:cs="Times New Roman"/>
                <w:color w:val="auto"/>
                <w:sz w:val="24"/>
                <w:szCs w:val="24"/>
                <w:highlight w:val="none"/>
                <w:lang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宋体" w:hAnsi="宋体" w:eastAsia="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hint="eastAsia" w:ascii="宋体" w:hAnsi="宋体" w:cs="宋体"/>
                <w:sz w:val="24"/>
              </w:rPr>
              <w:t xml:space="preserve">成功案例</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highlight w:val="none"/>
              </w:rPr>
            </w:pPr>
            <w:r>
              <w:rPr>
                <w:rFonts w:hint="eastAsia" w:ascii="宋体" w:hAnsi="宋体" w:cs="宋体"/>
                <w:sz w:val="24"/>
                <w:highlight w:val="none"/>
              </w:rPr>
              <w:t xml:space="preserve">2023年1月1日以来（以合同或协议签订时间为准），</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具有类似家具项目成功案例的，有一个得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spacing w:line="440" w:lineRule="exact"/>
              <w:rPr>
                <w:rFonts w:ascii="黑体" w:hAnsi="黑体" w:eastAsia="黑体" w:cs="宋体"/>
                <w:sz w:val="20"/>
                <w:szCs w:val="20"/>
                <w:highlight w:val="none"/>
              </w:rPr>
            </w:pPr>
            <w:r>
              <w:rPr>
                <w:rFonts w:hint="eastAsia" w:ascii="宋体" w:hAnsi="宋体" w:cs="宋体"/>
                <w:sz w:val="24"/>
                <w:highlight w:val="none"/>
              </w:rPr>
              <w:t xml:space="preserve">注：提供合同（或协议）原件扫描件，未按要求提供或未提供证明材料的均不得分。</w:t>
            </w:r>
            <w:r/>
          </w:p>
        </w:tc>
      </w:tr>
      <w:tr>
        <w:trPr>
          <w:trHeight w:val="120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宋体" w:hAnsi="宋体" w:eastAsia="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hint="eastAsia" w:ascii="宋体" w:hAnsi="宋体" w:cs="宋体"/>
                <w:sz w:val="24"/>
              </w:rPr>
              <w:t xml:space="preserve">质保期</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spacing w:line="440" w:lineRule="exact"/>
              <w:rPr>
                <w:rFonts w:hint="eastAsia" w:ascii="宋体" w:hAnsi="宋体" w:cs="宋体"/>
                <w:sz w:val="24"/>
                <w:highlight w:val="none"/>
              </w:rPr>
            </w:pPr>
            <w:r>
              <w:rPr>
                <w:rFonts w:hint="eastAsia" w:ascii="宋体" w:hAnsi="宋体" w:cs="宋体"/>
                <w:sz w:val="24"/>
                <w:highlight w:val="none"/>
              </w:rPr>
              <w:t xml:space="preserve">满足</w:t>
            </w:r>
            <w:r>
              <w:rPr>
                <w:rFonts w:hint="eastAsia" w:ascii="宋体" w:hAnsi="宋体" w:cs="宋体"/>
                <w:sz w:val="24"/>
                <w:highlight w:val="none"/>
                <w:lang w:val="en-US" w:eastAsia="zh-CN"/>
              </w:rPr>
              <w:t xml:space="preserve">磋商</w:t>
            </w:r>
            <w:r>
              <w:rPr>
                <w:rFonts w:hint="eastAsia" w:ascii="宋体" w:hAnsi="宋体" w:cs="宋体"/>
                <w:sz w:val="24"/>
                <w:highlight w:val="none"/>
              </w:rPr>
              <w:t xml:space="preserve">文件要求质保期（</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年）不得分，每增加一年质保期得2分，最高得6分。</w:t>
            </w:r>
            <w:r/>
          </w:p>
          <w:p>
            <w:pPr>
              <w:spacing w:line="440" w:lineRule="exact"/>
              <w:rPr>
                <w:rFonts w:ascii="黑体" w:hAnsi="黑体" w:eastAsia="黑体" w:cs="宋体"/>
                <w:sz w:val="20"/>
                <w:szCs w:val="20"/>
                <w:highlight w:val="none"/>
              </w:rPr>
            </w:pPr>
            <w:r>
              <w:rPr>
                <w:rFonts w:hint="eastAsia" w:ascii="宋体" w:hAnsi="宋体" w:cs="宋体"/>
                <w:sz w:val="24"/>
                <w:highlight w:val="none"/>
              </w:rPr>
              <w:t xml:space="preserve">注：提供承诺书原件（格式自拟，加盖公章）扫描件，未按要求提供或未提供证明材料的均不得分。</w:t>
            </w:r>
            <w:r/>
          </w:p>
        </w:tc>
      </w:tr>
    </w:tbl>
    <w:p>
      <w:r/>
      <w:r/>
    </w:p>
    <w:p>
      <w:pPr>
        <w:ind w:firstLine="482"/>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（四）</w:t>
      </w:r>
      <w:r>
        <w:rPr>
          <w:rFonts w:hint="eastAsia" w:ascii="宋体" w:hAnsi="宋体" w:cs="宋体"/>
          <w:b/>
          <w:color w:val="000000" w:themeColor="text1"/>
          <w:sz w:val="24"/>
          <w:szCs w:val="24"/>
          <w:lang w:val="zh-CN"/>
        </w:rPr>
        <w:t xml:space="preserve">价格分</w:t>
      </w:r>
      <w:r>
        <w:rPr>
          <w:rFonts w:hint="eastAsia" w:ascii="宋体" w:hAnsi="宋体" w:cs="宋体"/>
          <w:b/>
          <w:color w:val="000000" w:themeColor="text1"/>
          <w:sz w:val="24"/>
          <w:szCs w:val="24"/>
        </w:rPr>
        <w:t xml:space="preserve">：</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0</w:t>
      </w:r>
      <w:r>
        <w:rPr>
          <w:rFonts w:hint="eastAsia" w:ascii="宋体" w:hAnsi="宋体" w:cs="宋体"/>
          <w:color w:val="000000" w:themeColor="text1"/>
          <w:sz w:val="24"/>
          <w:szCs w:val="24"/>
          <w:lang w:val="zh-CN"/>
        </w:rPr>
        <w:t xml:space="preserve">分</w:t>
      </w:r>
      <w:r/>
    </w:p>
    <w:p>
      <w:pPr>
        <w:ind w:firstLine="480"/>
        <w:spacing w:line="460" w:lineRule="exact"/>
        <w:rPr>
          <w:rFonts w:ascii="宋体" w:hAnsi="宋体" w:cs="宋体"/>
          <w:color w:val="000000" w:themeColor="text1"/>
          <w:sz w:val="24"/>
          <w:szCs w:val="24"/>
        </w:rPr>
      </w:pPr>
      <w:r/>
      <w:bookmarkStart w:id="196" w:name="OLE_LINK24"/>
      <w:r/>
      <w:bookmarkStart w:id="197" w:name="OLE_LINK25"/>
      <w:r>
        <w:rPr>
          <w:rFonts w:hint="eastAsia" w:ascii="宋体" w:hAnsi="宋体" w:cs="宋体"/>
          <w:color w:val="000000" w:themeColor="text1"/>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磋商报价得分=（磋商基准价/最后磋商报价）×价格权值×100</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注：评分的取值采取四舍五入，保留两位小数。</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出现下列情形之一的，磋商小组应当启动异常低价响应审查程序：</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1.投标（响应）报价低于全部通过符合性审查供应商投标（响应）报价平均值50%的，即投标（响应）报价&lt;全部通过符合性审查供应商投标（响应）报价平均值×50%；</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2.投标（响应）报价低于通过符合性审查的次低报价供应商投标（响应）报价50%的，即投标（响应）报价&lt;通过符合性审查的次低报价供应商投标（响应）报价×50%；</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3.投标（响应）报价低于采购项目最高限价45%的，即投标（响应）报价&lt;采购项目最高限价×45%；</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4.评审委员会基于专业判断，认为供应商报价过低，有可能影响产品质量或者不能诚信履约的其他情形。</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96"/>
      <w:r/>
      <w:bookmarkEnd w:id="197"/>
      <w:r/>
      <w:r/>
    </w:p>
    <w:p>
      <w:pPr>
        <w:ind w:firstLine="482"/>
        <w:spacing w:line="460" w:lineRule="exact"/>
        <w:rPr>
          <w:rFonts w:ascii="宋体" w:hAnsi="宋体" w:cs="宋体"/>
          <w:b/>
          <w:color w:val="000000" w:themeColor="text1"/>
          <w:sz w:val="24"/>
          <w:szCs w:val="24"/>
        </w:rPr>
      </w:pPr>
      <w:r>
        <w:rPr>
          <w:rFonts w:hint="eastAsia" w:ascii="宋体" w:hAnsi="宋体"/>
          <w:b/>
          <w:color w:val="000000" w:themeColor="text1"/>
          <w:sz w:val="24"/>
          <w:szCs w:val="24"/>
        </w:rPr>
        <w:t xml:space="preserve">（五）政府采购政策功能落实</w:t>
      </w:r>
      <w:r/>
    </w:p>
    <w:p>
      <w:pPr>
        <w:ind w:firstLine="480"/>
        <w:spacing w:line="460" w:lineRule="exact"/>
        <w:rPr>
          <w:rFonts w:ascii="宋体" w:hAnsi="宋体" w:cs="宋体"/>
          <w:b/>
          <w:color w:val="000000" w:themeColor="text1"/>
          <w:sz w:val="24"/>
          <w:szCs w:val="24"/>
        </w:rPr>
      </w:pPr>
      <w:r>
        <w:rPr>
          <w:rFonts w:hint="eastAsia" w:ascii="宋体" w:hAnsi="宋体" w:cs="宋体"/>
          <w:color w:val="000000" w:themeColor="text1"/>
          <w:sz w:val="24"/>
          <w:szCs w:val="24"/>
        </w:rPr>
        <w:t xml:space="preserve">1.小微型企业价格扣除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（1）本项目对小型和微型企业产品给予20%的扣除价格，用扣除后的价格参与评审。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（2）供应商需按照《政府采购促进中小企业发展管理办法》（财库﹝2020﹞46 号）的规定提供相应的《中小企业声明函》。</w:t>
      </w:r>
      <w:r/>
    </w:p>
    <w:p>
      <w:pPr>
        <w:ind w:firstLine="48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（3）企业标准请参照《关于印发中小企业划型标准规定的通知》（工信部联企业[2011]300号）文件规定自行填写。</w:t>
      </w:r>
      <w:r/>
    </w:p>
    <w:p>
      <w:pPr>
        <w:ind w:firstLine="480"/>
        <w:spacing w:line="460" w:lineRule="exact"/>
        <w:rPr>
          <w:rFonts w:hint="eastAsia" w:ascii="宋体" w:hAnsi="宋体" w:cs="宋体"/>
          <w:color w:val="000000" w:themeColor="text1"/>
          <w:sz w:val="24"/>
          <w:szCs w:val="24"/>
        </w:rPr>
      </w:pPr>
      <w:r>
        <w:rPr>
          <w:rFonts w:hint="eastAsia" w:ascii="宋体" w:hAnsi="宋体"/>
          <w:b w:val="0"/>
          <w:bCs/>
          <w:color w:val="auto"/>
          <w:sz w:val="24"/>
          <w:szCs w:val="24"/>
          <w:highlight w:val="none"/>
          <w:lang w:val="en-US" w:eastAsia="zh-CN"/>
        </w:rPr>
        <w:t xml:space="preserve">（4）专门面向中小微企业采购的项目或者采购包，不再执行价格评审优惠的扶持政策。</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（1）本项目对残疾人福利性单位，给予20%的价格扣除，用扣除后的价格参与评审。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（2）残疾人福利单位需按照采购文件的要求提供《残疾人福利性单位声明函》。</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（3）残疾人福利单位标准请参照《关于促进残疾人就业政府采购政策的通知》（财库〔2017〕141号）。</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3.监狱和戒毒企业价格扣除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（1）本项目对监狱和戒毒企业（简称监狱企业）给予20%的价格扣除，用扣除后的价格参与评审。</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（3）监狱企业标准请参照《关于政府采购支持监狱企业发展有关问题的通知》（财库[2014]68号）。</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4.残疾人福利单位、监狱企业属于小型、微型企业的，不重复享受政策。</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6.联合体各方均为小型、微型企业（残疾人福利单位、监狱企业）的，联合体享受上述同类价格扣除，用扣除后的价格参与评审。</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（六）成交供应商的确定</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磋商小组汇总各评委评分后，按照得分从高到低的顺序推荐三名成交候选人，并编写评审报告。</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采购人授权磋商小组在成交候选供应商中直接确定成交供应商。</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（七）采购人代表宣布评审结果。</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（八）公告成交结果</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自确定成交供应商之日起2个工作日内，在江苏政府采购网公告成交结果，公告期限为1个工作日。</w:t>
      </w:r>
      <w:r/>
    </w:p>
    <w:p>
      <w:pPr>
        <w:ind w:firstLine="480"/>
        <w:spacing w:line="4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（九）发放成交通知书</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公告成交结果的同时，采购人或采购代理机构向成交供应商发放成交通知书。</w:t>
      </w:r>
      <w:r/>
    </w:p>
    <w:p>
      <w:pPr>
        <w:ind w:firstLine="48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成交通知书发出后，采购人不得违法改变成交结果，成交供应商无正当理由不得放弃成交。</w:t>
      </w:r>
      <w:r/>
    </w:p>
    <w:p>
      <w:pPr>
        <w:jc w:val="left"/>
        <w:widowControl/>
        <w:rPr>
          <w:rFonts w:ascii="黑体" w:eastAsia="黑体"/>
          <w:bCs/>
          <w:color w:val="000000" w:themeColor="text1"/>
          <w:sz w:val="44"/>
          <w:szCs w:val="28"/>
        </w:rPr>
      </w:pPr>
      <w:r>
        <w:rPr>
          <w:rFonts w:ascii="黑体" w:eastAsia="黑体"/>
          <w:bCs/>
          <w:color w:val="000000" w:themeColor="text1"/>
          <w:sz w:val="44"/>
          <w:szCs w:val="28"/>
        </w:rPr>
        <w:br w:type="page" w:clear="all"/>
      </w:r>
      <w:r/>
    </w:p>
    <w:p>
      <w:pPr>
        <w:jc w:val="center"/>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第五章  </w:t>
      </w:r>
      <w:bookmarkEnd w:id="191"/>
      <w:r/>
      <w:bookmarkEnd w:id="192"/>
      <w:r/>
      <w:bookmarkEnd w:id="195"/>
      <w:r>
        <w:rPr>
          <w:rFonts w:hint="eastAsia" w:ascii="黑体" w:eastAsia="黑体"/>
          <w:bCs/>
          <w:color w:val="000000" w:themeColor="text1"/>
          <w:sz w:val="44"/>
          <w:szCs w:val="28"/>
        </w:rPr>
        <w:t xml:space="preserve">响应文件格式</w:t>
      </w:r>
      <w:r/>
    </w:p>
    <w:p>
      <w:pPr>
        <w:jc w:val="center"/>
        <w:rPr>
          <w:rFonts w:ascii="宋体" w:hAnsi="宋体"/>
          <w:b/>
          <w:color w:val="000000" w:themeColor="text1"/>
          <w:sz w:val="72"/>
          <w:szCs w:val="21"/>
        </w:rPr>
      </w:pPr>
      <w:r/>
      <w:bookmarkStart w:id="198" w:name="_Hlt26955039"/>
      <w:r/>
      <w:bookmarkEnd w:id="198"/>
      <w:r/>
      <w:bookmarkStart w:id="199" w:name="_Hlt26671244"/>
      <w:r/>
      <w:bookmarkEnd w:id="199"/>
      <w:r/>
      <w:bookmarkStart w:id="200" w:name="_Toc49090576"/>
      <w:r/>
      <w:bookmarkStart w:id="201" w:name="_Toc120614282"/>
      <w:r/>
      <w:bookmarkStart w:id="202" w:name="_Toc26554094"/>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响  应  文  件</w:t>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72"/>
          <w:szCs w:val="21"/>
        </w:rPr>
      </w:pPr>
      <w:r>
        <w:rPr>
          <w:rFonts w:ascii="宋体" w:hAnsi="宋体"/>
          <w:b/>
          <w:color w:val="000000" w:themeColor="text1"/>
          <w:sz w:val="72"/>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 xml:space="preserve">（加盖CA电子公章）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Cs w:val="21"/>
        </w:rPr>
      </w:pPr>
      <w:r>
        <w:rPr>
          <w:rFonts w:ascii="宋体" w:hAnsi="宋体"/>
          <w:color w:val="000000" w:themeColor="text1"/>
          <w:szCs w:val="21"/>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color w:val="000000" w:themeColor="text1"/>
          <w:sz w:val="36"/>
          <w:szCs w:val="21"/>
          <w:u w:val="single"/>
        </w:rPr>
      </w:pPr>
      <w:r>
        <w:rPr>
          <w:rFonts w:ascii="宋体" w:hAnsi="宋体"/>
          <w:b/>
          <w:color w:val="000000" w:themeColor="text1"/>
          <w:sz w:val="36"/>
          <w:szCs w:val="21"/>
          <w:u w:val="single"/>
        </w:rPr>
      </w:r>
      <w:r/>
    </w:p>
    <w:p>
      <w:pPr>
        <w:rPr>
          <w:rFonts w:ascii="宋体" w:hAnsi="宋体"/>
          <w:b/>
          <w:bCs/>
          <w:color w:val="000000" w:themeColor="text1"/>
          <w:sz w:val="32"/>
          <w:szCs w:val="32"/>
        </w:rPr>
      </w:pPr>
      <w:r>
        <w:rPr>
          <w:rFonts w:ascii="宋体" w:hAnsi="宋体"/>
          <w:b/>
          <w:bCs/>
          <w:color w:val="000000" w:themeColor="text1"/>
          <w:sz w:val="32"/>
          <w:szCs w:val="32"/>
        </w:rPr>
      </w:r>
      <w:r/>
    </w:p>
    <w:p>
      <w:pPr>
        <w:jc w:val="center"/>
        <w:spacing w:line="560" w:lineRule="exact"/>
        <w:rPr>
          <w:rFonts w:ascii="宋体" w:hAnsi="宋体"/>
          <w:b/>
          <w:bCs/>
          <w:color w:val="000000" w:themeColor="text1"/>
          <w:sz w:val="44"/>
          <w:szCs w:val="44"/>
        </w:rPr>
      </w:pPr>
      <w:r>
        <w:rPr>
          <w:rFonts w:hint="eastAsia" w:ascii="宋体" w:hAnsi="宋体"/>
          <w:b/>
          <w:bCs/>
          <w:color w:val="000000" w:themeColor="text1"/>
          <w:sz w:val="44"/>
          <w:szCs w:val="44"/>
        </w:rPr>
        <w:t xml:space="preserve">响应文件目录</w:t>
      </w:r>
      <w:r/>
    </w:p>
    <w:p>
      <w:pPr>
        <w:jc w:val="center"/>
        <w:spacing w:line="560" w:lineRule="exact"/>
        <w:rPr>
          <w:rFonts w:ascii="宋体" w:hAnsi="宋体"/>
          <w:b/>
          <w:bCs/>
          <w:color w:val="000000" w:themeColor="text1"/>
          <w:sz w:val="32"/>
          <w:szCs w:val="32"/>
        </w:rPr>
      </w:pPr>
      <w:r>
        <w:rPr>
          <w:rFonts w:ascii="宋体" w:hAnsi="宋体"/>
          <w:b/>
          <w:bCs/>
          <w:color w:val="000000" w:themeColor="text1"/>
          <w:sz w:val="32"/>
          <w:szCs w:val="32"/>
        </w:rPr>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一、资格审查证明材料</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left="482"/>
        <w:spacing w:line="72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四、其他资料（如有）</w:t>
      </w:r>
      <w:r/>
    </w:p>
    <w:p>
      <w:pPr>
        <w:ind w:firstLine="480"/>
        <w:spacing w:line="440" w:lineRule="exact"/>
        <w:rPr>
          <w:rFonts w:ascii="宋体" w:hAnsi="宋体"/>
          <w:i/>
          <w:color w:val="000000" w:themeColor="text1"/>
          <w:sz w:val="24"/>
          <w:szCs w:val="21"/>
          <w:u w:val="single"/>
        </w:rPr>
      </w:pPr>
      <w:r>
        <w:rPr>
          <w:rFonts w:ascii="宋体" w:hAnsi="宋体"/>
          <w:i/>
          <w:color w:val="000000" w:themeColor="text1"/>
          <w:sz w:val="24"/>
          <w:szCs w:val="21"/>
          <w:u w:val="single"/>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spacing w:line="44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560" w:lineRule="exact"/>
        <w:rPr>
          <w:rFonts w:ascii="黑体" w:hAnsi="黑体" w:eastAsia="黑体"/>
          <w:color w:val="000000" w:themeColor="text1"/>
          <w:sz w:val="32"/>
          <w:szCs w:val="32"/>
        </w:rPr>
      </w:pPr>
      <w:r>
        <w:rPr>
          <w:rFonts w:ascii="宋体" w:hAnsi="宋体"/>
          <w:color w:val="000000" w:themeColor="text1"/>
          <w:sz w:val="24"/>
          <w:szCs w:val="21"/>
        </w:rPr>
        <w:br w:type="page" w:clear="all"/>
      </w:r>
      <w:r>
        <w:rPr>
          <w:rFonts w:hint="eastAsia" w:ascii="黑体" w:hAnsi="黑体" w:eastAsia="黑体"/>
          <w:color w:val="000000" w:themeColor="text1"/>
          <w:sz w:val="32"/>
          <w:szCs w:val="32"/>
        </w:rPr>
        <w:t xml:space="preserve">一、资格审查证明材料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1.法人或者其他组织的营业执照等证明文件，自然人的身份证明；</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4.具备履行合同所必需的设备和专业技术能力的证明材料；（格式见附件）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5.参加政府采购活动前3年内在经营活动中没有重大违法记录的书面声明；（格式见附件）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6.法定代表人身份证明书（格式见附件）；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7.法定代表人授权委托书原件，磋商代表本人身份证复印件（格式见附件）；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 xml:space="preserve">8.</w:t>
      </w:r>
      <w:r>
        <w:rPr>
          <w:rFonts w:hint="eastAsia" w:asciiTheme="minorEastAsia" w:hAnsiTheme="minorEastAsia" w:eastAsiaTheme="minorEastAsia"/>
          <w:color w:val="000000" w:themeColor="text1"/>
          <w:sz w:val="24"/>
          <w:szCs w:val="24"/>
        </w:rPr>
        <w:t xml:space="preserve">磋商响应函（格式见附件）；</w:t>
      </w:r>
      <w:r/>
    </w:p>
    <w:p>
      <w:pPr>
        <w:ind w:firstLine="480"/>
        <w:spacing w:line="56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9.磋商公告资格要求提供相应的佐证材料；</w:t>
      </w:r>
      <w:r/>
    </w:p>
    <w:p>
      <w:pPr>
        <w:ind w:firstLine="480"/>
        <w:spacing w:line="560" w:lineRule="exact"/>
        <w:rPr>
          <w:rFonts w:ascii="宋体" w:hAnsi="宋体"/>
          <w:color w:val="000000" w:themeColor="text1"/>
          <w:sz w:val="24"/>
          <w:szCs w:val="24"/>
        </w:rPr>
      </w:pPr>
      <w:r>
        <w:rPr>
          <w:rFonts w:hint="eastAsia" w:asciiTheme="minorEastAsia" w:hAnsiTheme="minorEastAsia" w:eastAsiaTheme="minorEastAsia"/>
          <w:color w:val="000000" w:themeColor="text1"/>
          <w:sz w:val="24"/>
          <w:szCs w:val="24"/>
        </w:rPr>
        <w:t xml:space="preserve">10.其它需</w:t>
      </w:r>
      <w:r>
        <w:rPr>
          <w:rFonts w:hint="eastAsia" w:ascii="宋体" w:hAnsi="宋体"/>
          <w:color w:val="000000" w:themeColor="text1"/>
          <w:sz w:val="24"/>
          <w:szCs w:val="24"/>
        </w:rPr>
        <w:t xml:space="preserve">要提交的资格审查证明材料。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二、商务、技术标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w:t>
      </w:r>
      <w:bookmarkStart w:id="203" w:name="OLE_LINK13"/>
      <w:r>
        <w:rPr>
          <w:rFonts w:hint="eastAsia" w:ascii="宋体" w:hAnsi="宋体"/>
          <w:color w:val="000000" w:themeColor="text1"/>
          <w:sz w:val="24"/>
          <w:szCs w:val="24"/>
        </w:rPr>
        <w:t xml:space="preserve">商务部分正负偏离表</w:t>
      </w:r>
      <w:bookmarkEnd w:id="203"/>
      <w:r>
        <w:rPr>
          <w:rFonts w:hint="eastAsia" w:ascii="宋体" w:hAnsi="宋体"/>
          <w:color w:val="000000" w:themeColor="text1"/>
          <w:sz w:val="24"/>
          <w:szCs w:val="24"/>
        </w:rPr>
        <w:t xml:space="preserve">；（格式见附件）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w:t>
      </w:r>
      <w:bookmarkStart w:id="204" w:name="OLE_LINK14"/>
      <w:r/>
      <w:bookmarkStart w:id="205" w:name="OLE_LINK17"/>
      <w:r>
        <w:rPr>
          <w:rFonts w:hint="eastAsia" w:ascii="宋体" w:hAnsi="宋体"/>
          <w:color w:val="000000" w:themeColor="text1"/>
          <w:sz w:val="24"/>
          <w:szCs w:val="24"/>
        </w:rPr>
        <w:t xml:space="preserve">技术部分正负偏离表</w:t>
      </w:r>
      <w:bookmarkEnd w:id="204"/>
      <w:r/>
      <w:bookmarkEnd w:id="205"/>
      <w:r>
        <w:rPr>
          <w:rFonts w:hint="eastAsia" w:ascii="宋体" w:hAnsi="宋体"/>
          <w:color w:val="000000" w:themeColor="text1"/>
          <w:sz w:val="24"/>
          <w:szCs w:val="24"/>
        </w:rPr>
        <w:t xml:space="preserve">；（格式见附件）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3.响应方案、货物（服务）清单。</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4.商务、技术评分标准中须提供的相关得分佐证材料；</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5.供应商认为需要提交的其他商务、技术材料。</w:t>
      </w:r>
      <w:r/>
    </w:p>
    <w:p>
      <w:pPr>
        <w:ind w:firstLine="640"/>
        <w:spacing w:line="560" w:lineRule="exact"/>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三、价格标</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1.报价总表（格式见附件）；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2.分项报价明细表（格式见附件）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3.中小企业声明函（如有）（格式见附件）；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4.残疾人福利性单位声明函（如有）（格式见附件）；</w:t>
      </w:r>
      <w:r/>
    </w:p>
    <w:p>
      <w:pPr>
        <w:ind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5.监狱和戒毒企业证明材料（如有）（格式见附件）</w:t>
      </w:r>
      <w:r/>
    </w:p>
    <w:p>
      <w:pPr>
        <w:ind w:firstLine="480"/>
        <w:spacing w:line="440" w:lineRule="exact"/>
        <w:rPr>
          <w:rFonts w:ascii="宋体" w:hAnsi="宋体"/>
          <w:color w:val="000000" w:themeColor="text1"/>
          <w:sz w:val="24"/>
          <w:szCs w:val="21"/>
        </w:rPr>
      </w:pPr>
      <w:r>
        <w:rPr>
          <w:rFonts w:ascii="宋体" w:hAnsi="宋体"/>
          <w:color w:val="000000" w:themeColor="text1"/>
          <w:sz w:val="24"/>
          <w:szCs w:val="21"/>
        </w:rPr>
      </w:r>
      <w:r/>
    </w:p>
    <w:p>
      <w:pPr>
        <w:contextualSpacing/>
        <w:spacing w:line="420" w:lineRule="exact"/>
        <w:rPr>
          <w:rFonts w:asciiTheme="minorEastAsia" w:hAnsiTheme="minorEastAsia" w:eastAsiaTheme="minorEastAsia"/>
          <w:color w:val="000000" w:themeColor="text1"/>
          <w:sz w:val="32"/>
          <w:szCs w:val="32"/>
          <w:lang w:val="zh-CN"/>
        </w:rPr>
      </w:pPr>
      <w:r>
        <w:rPr>
          <w:rFonts w:ascii="宋体" w:hAnsi="宋体"/>
          <w:color w:val="000000" w:themeColor="text1"/>
          <w:sz w:val="24"/>
          <w:szCs w:val="21"/>
        </w:rPr>
        <w:br w:type="page" w:clear="all"/>
      </w:r>
      <w:bookmarkEnd w:id="200"/>
      <w:r/>
      <w:bookmarkEnd w:id="201"/>
      <w:r/>
      <w:bookmarkEnd w:id="202"/>
      <w:r/>
      <w:bookmarkStart w:id="206" w:name="_Toc120614284"/>
      <w:r>
        <w:rPr>
          <w:rFonts w:asciiTheme="minorEastAsia" w:hAnsiTheme="minorEastAsia" w:eastAsiaTheme="minorEastAsia"/>
          <w:color w:val="000000" w:themeColor="text1"/>
          <w:sz w:val="32"/>
          <w:szCs w:val="32"/>
          <w:lang w:val="zh-CN"/>
        </w:rPr>
        <w:t xml:space="preserve">附件1</w:t>
      </w:r>
      <w:r/>
    </w:p>
    <w:p>
      <w:pPr>
        <w:jc w:val="center"/>
        <w:spacing w:line="420" w:lineRule="exact"/>
        <w:rPr>
          <w:rFonts w:cs="宋体" w:asciiTheme="minorEastAsia" w:hAnsiTheme="minorEastAsia" w:eastAsiaTheme="minorEastAsia"/>
          <w:b/>
          <w:bCs/>
          <w:color w:val="000000" w:themeColor="text1"/>
          <w:sz w:val="24"/>
          <w:szCs w:val="24"/>
        </w:rPr>
        <w:outlineLvl w:val="1"/>
      </w:pPr>
      <w:r>
        <w:rPr>
          <w:rFonts w:hint="eastAsia" w:cs="宋体" w:asciiTheme="minorEastAsia" w:hAnsiTheme="minorEastAsia" w:eastAsiaTheme="minorEastAsia"/>
          <w:b/>
          <w:bCs/>
          <w:color w:val="000000" w:themeColor="text1"/>
          <w:sz w:val="24"/>
          <w:szCs w:val="24"/>
        </w:rPr>
        <w:t xml:space="preserve">具备履行合同所必需的设备和专业技术能力的证明材料</w:t>
      </w:r>
      <w:r/>
    </w:p>
    <w:p>
      <w:pP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left"/>
        <w:spacing w:line="420" w:lineRule="exact"/>
        <w:widowControl/>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spacing w:line="420" w:lineRule="exact"/>
        <w:rPr>
          <w:rFonts w:asciiTheme="minorEastAsia" w:hAnsiTheme="minorEastAsia" w:eastAsiaTheme="minorEastAsia"/>
          <w:bCs/>
          <w:color w:val="000000" w:themeColor="text1"/>
          <w:sz w:val="24"/>
          <w:szCs w:val="24"/>
          <w:u w:val="single"/>
          <w:lang w:val="zh-CN"/>
        </w:rPr>
      </w:pPr>
      <w:r>
        <w:rPr>
          <w:rFonts w:hint="eastAsia" w:asciiTheme="minorEastAsia" w:hAnsiTheme="minorEastAsia" w:eastAsiaTheme="minorEastAsia"/>
          <w:bCs/>
          <w:color w:val="000000" w:themeColor="text1"/>
          <w:sz w:val="24"/>
          <w:szCs w:val="24"/>
          <w:u w:val="single"/>
          <w:lang w:val="zh-CN"/>
        </w:rPr>
        <w:t xml:space="preserve">江苏省曲塘高级中学：</w:t>
      </w:r>
      <w:r/>
    </w:p>
    <w:p>
      <w:pPr>
        <w:ind w:firstLine="468"/>
        <w:jc w:val="left"/>
        <w:spacing w:line="42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我方参加你方的</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 xml:space="preserve">（项目名称）的投标，现我方向你方慎重承诺：</w:t>
      </w:r>
      <w:r/>
    </w:p>
    <w:p>
      <w:pPr>
        <w:ind w:left="448"/>
        <w:jc w:val="left"/>
        <w:spacing w:line="420" w:lineRule="exac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本单位</w:t>
      </w:r>
      <w:r>
        <w:rPr>
          <w:rFonts w:hint="eastAsia" w:cs="宋体" w:asciiTheme="minorEastAsia" w:hAnsiTheme="minorEastAsia" w:eastAsiaTheme="minorEastAsia"/>
          <w:color w:val="000000" w:themeColor="text1"/>
          <w:sz w:val="24"/>
          <w:szCs w:val="24"/>
          <w:u w:val="single"/>
        </w:rPr>
        <w:t xml:space="preserve">      </w:t>
      </w:r>
      <w:r>
        <w:rPr>
          <w:rFonts w:hint="eastAsia" w:cs="宋体" w:asciiTheme="minorEastAsia" w:hAnsiTheme="minorEastAsia" w:eastAsiaTheme="minorEastAsia"/>
          <w:color w:val="000000" w:themeColor="text1"/>
          <w:sz w:val="24"/>
          <w:szCs w:val="24"/>
        </w:rPr>
        <w:t xml:space="preserve">（具备</w:t>
      </w: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不具备）履行合同所必需的设备和专业技术能力。</w:t>
      </w:r>
      <w:r/>
    </w:p>
    <w:p>
      <w:pPr>
        <w:ind w:right="-512" w:firstLine="3120"/>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p>
      <w:pPr>
        <w:ind w:right="-512" w:firstLine="3840"/>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供应商（盖章）：</w:t>
      </w:r>
      <w:r/>
    </w:p>
    <w:p>
      <w:pPr>
        <w:ind w:right="-512" w:firstLine="3120"/>
        <w:spacing w:line="420" w:lineRule="exact"/>
        <w:tabs>
          <w:tab w:val="left" w:pos="4320" w:leader="none"/>
        </w:tabs>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法定代表人或其授权委托人</w:t>
      </w:r>
      <w:r>
        <w:rPr>
          <w:rFonts w:hint="eastAsia" w:cs="宋体" w:asciiTheme="minorEastAsia" w:hAnsiTheme="minorEastAsia" w:eastAsiaTheme="minorEastAsia"/>
          <w:color w:val="000000" w:themeColor="text1"/>
          <w:sz w:val="24"/>
          <w:szCs w:val="24"/>
        </w:rPr>
        <w:t xml:space="preserve">（签字或盖章）：</w:t>
      </w:r>
      <w:r/>
    </w:p>
    <w:p>
      <w:pPr>
        <w:jc w:val="right"/>
        <w:spacing w:line="420" w:lineRule="exact"/>
        <w:rPr>
          <w:rFonts w:cs="宋体" w:asciiTheme="minorEastAsia" w:hAnsiTheme="minorEastAsia" w:eastAsiaTheme="minorEastAsia"/>
          <w:color w:val="000000" w:themeColor="text1"/>
          <w:sz w:val="24"/>
          <w:szCs w:val="24"/>
        </w:rPr>
      </w:pP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年</w:t>
      </w: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月</w:t>
      </w:r>
      <w:r>
        <w:rPr>
          <w:rFonts w:asciiTheme="minorEastAsia" w:hAnsiTheme="minorEastAsia" w:eastAsiaTheme="minorEastAsia"/>
          <w:bCs/>
          <w:color w:val="000000" w:themeColor="text1"/>
          <w:szCs w:val="21"/>
          <w:u w:val="single"/>
        </w:rPr>
        <w:t xml:space="preserve">______</w:t>
      </w:r>
      <w:r>
        <w:rPr>
          <w:rFonts w:hint="eastAsia" w:cs="宋体" w:asciiTheme="minorEastAsia" w:hAnsiTheme="minorEastAsia" w:eastAsiaTheme="minorEastAsia"/>
          <w:color w:val="000000" w:themeColor="text1"/>
          <w:sz w:val="24"/>
          <w:szCs w:val="24"/>
        </w:rPr>
        <w:t xml:space="preserve">日</w:t>
      </w:r>
      <w:r/>
    </w:p>
    <w:p>
      <w:pPr>
        <w:jc w:val="left"/>
        <w:widowControl/>
        <w:rPr>
          <w:rFonts w:ascii="宋体" w:hAnsi="宋体"/>
          <w:bCs/>
          <w:color w:val="000000" w:themeColor="text1"/>
          <w:sz w:val="24"/>
          <w:szCs w:val="21"/>
        </w:rPr>
      </w:pPr>
      <w:r>
        <w:rPr>
          <w:rFonts w:cs="宋体" w:asciiTheme="minorEastAsia" w:hAnsiTheme="minorEastAsia" w:eastAsiaTheme="minorEastAsia"/>
          <w:color w:val="000000" w:themeColor="text1"/>
          <w:sz w:val="24"/>
          <w:szCs w:val="24"/>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hint="eastAsia" w:asciiTheme="minorEastAsia" w:hAnsiTheme="minorEastAsia" w:eastAsiaTheme="minorEastAsia"/>
          <w:color w:val="000000" w:themeColor="text1"/>
          <w:sz w:val="32"/>
          <w:szCs w:val="32"/>
          <w:lang w:val="zh-CN"/>
        </w:rPr>
        <w:t xml:space="preserve">附件2</w:t>
      </w:r>
      <w:r/>
    </w:p>
    <w:p>
      <w:pPr>
        <w:ind w:firstLine="643"/>
        <w:jc w:val="center"/>
        <w:spacing w:line="420" w:lineRule="exact"/>
        <w:rPr>
          <w:rFonts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r>
      <w:r/>
    </w:p>
    <w:p>
      <w:pPr>
        <w:ind w:firstLine="643"/>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参加政府采购活动前</w:t>
      </w:r>
      <w:r>
        <w:rPr>
          <w:rFonts w:asciiTheme="minorEastAsia" w:hAnsiTheme="minorEastAsia" w:eastAsiaTheme="minorEastAsia"/>
          <w:b/>
          <w:color w:val="000000" w:themeColor="text1"/>
          <w:sz w:val="32"/>
          <w:szCs w:val="32"/>
        </w:rPr>
        <w:t xml:space="preserve"> 3 </w:t>
      </w:r>
      <w:r>
        <w:rPr>
          <w:rFonts w:hint="eastAsia" w:asciiTheme="minorEastAsia" w:hAnsiTheme="minorEastAsia" w:eastAsiaTheme="minorEastAsia"/>
          <w:b/>
          <w:color w:val="000000" w:themeColor="text1"/>
          <w:sz w:val="32"/>
          <w:szCs w:val="32"/>
        </w:rPr>
        <w:t xml:space="preserve">年内在经营活动中没有重大违法记</w:t>
      </w:r>
      <w:r>
        <w:rPr>
          <w:rFonts w:hint="eastAsia" w:asciiTheme="minorEastAsia" w:hAnsiTheme="minorEastAsia" w:eastAsiaTheme="minorEastAsia"/>
          <w:b/>
          <w:bCs/>
          <w:color w:val="000000" w:themeColor="text1"/>
          <w:sz w:val="32"/>
          <w:szCs w:val="32"/>
        </w:rPr>
        <w:t xml:space="preserve">录的书面声明</w:t>
      </w:r>
      <w:r/>
    </w:p>
    <w:p>
      <w:pPr>
        <w:spacing w:line="420" w:lineRule="exact"/>
        <w:rPr>
          <w:rFonts w:asciiTheme="minorEastAsia" w:hAnsiTheme="minorEastAsia" w:eastAsiaTheme="minorEastAsia"/>
          <w:b/>
          <w:bCs/>
          <w:color w:val="000000" w:themeColor="text1"/>
          <w:sz w:val="44"/>
          <w:szCs w:val="44"/>
        </w:rPr>
      </w:pPr>
      <w:r>
        <w:rPr>
          <w:rFonts w:asciiTheme="minorEastAsia" w:hAnsiTheme="minorEastAsia" w:eastAsiaTheme="minorEastAsia"/>
          <w:b/>
          <w:bCs/>
          <w:color w:val="000000" w:themeColor="text1"/>
          <w:sz w:val="44"/>
          <w:szCs w:val="44"/>
        </w:rPr>
      </w:r>
      <w:r/>
    </w:p>
    <w:p>
      <w:pPr>
        <w:ind w:firstLine="881"/>
        <w:jc w:val="center"/>
        <w:spacing w:line="420" w:lineRule="exact"/>
        <w:rPr>
          <w:rFonts w:asciiTheme="minorEastAsia" w:hAnsiTheme="minorEastAsia" w:eastAsiaTheme="minorEastAsia"/>
          <w:b/>
          <w:bCs/>
          <w:color w:val="000000" w:themeColor="text1"/>
          <w:sz w:val="44"/>
          <w:szCs w:val="44"/>
        </w:rPr>
      </w:pPr>
      <w:r>
        <w:rPr>
          <w:rFonts w:asciiTheme="minorEastAsia" w:hAnsiTheme="minorEastAsia" w:eastAsiaTheme="minorEastAsia"/>
          <w:b/>
          <w:bCs/>
          <w:color w:val="000000" w:themeColor="text1"/>
          <w:sz w:val="44"/>
          <w:szCs w:val="44"/>
        </w:rPr>
      </w:r>
      <w:r/>
    </w:p>
    <w:p>
      <w:pPr>
        <w:ind w:firstLine="482"/>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我公司（本人）郑重声明：参加本次政府采购活动前</w:t>
      </w:r>
      <w:r>
        <w:rPr>
          <w:rFonts w:asciiTheme="minorEastAsia" w:hAnsiTheme="minorEastAsia" w:eastAsiaTheme="minorEastAsia"/>
          <w:bCs/>
          <w:color w:val="000000" w:themeColor="text1"/>
          <w:szCs w:val="21"/>
        </w:rPr>
        <w:t xml:space="preserve"> 3 </w:t>
      </w:r>
      <w:r>
        <w:rPr>
          <w:rFonts w:hint="eastAsia" w:asciiTheme="minorEastAsia" w:hAnsiTheme="minorEastAsia" w:eastAsiaTheme="minorEastAsia"/>
          <w:bCs/>
          <w:color w:val="000000" w:themeColor="text1"/>
          <w:szCs w:val="21"/>
        </w:rPr>
        <w:t xml:space="preserve">年内，我公司在经营活动中没有因违法经营受到刑事处罚或者责令停产停业、吊销许可证或者执照、较大数额罚款等行政处罚。</w:t>
      </w:r>
      <w:r/>
    </w:p>
    <w:p>
      <w:pPr>
        <w:ind w:firstLine="482"/>
        <w:spacing w:line="42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ind w:firstLine="482"/>
        <w:spacing w:line="420" w:lineRule="exact"/>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r>
      <w:r/>
    </w:p>
    <w:p>
      <w:pPr>
        <w:spacing w:line="420" w:lineRule="exac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供应商名称（公章）：</w:t>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授权代表签字：</w:t>
      </w:r>
      <w:r>
        <w:rPr>
          <w:rFonts w:asciiTheme="minorEastAsia" w:hAnsiTheme="minorEastAsia" w:eastAsiaTheme="minorEastAsia"/>
          <w:bCs/>
          <w:color w:val="000000" w:themeColor="text1"/>
          <w:szCs w:val="21"/>
          <w:u w:val="single"/>
        </w:rPr>
        <w:t xml:space="preserve">_______________________</w:t>
      </w:r>
      <w:r/>
    </w:p>
    <w:p>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日期：</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年</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月</w:t>
      </w:r>
      <w:r>
        <w:rPr>
          <w:rFonts w:asciiTheme="minorEastAsia" w:hAnsiTheme="minorEastAsia" w:eastAsiaTheme="minorEastAsia"/>
          <w:bCs/>
          <w:color w:val="000000" w:themeColor="text1"/>
          <w:szCs w:val="21"/>
          <w:u w:val="single"/>
        </w:rPr>
        <w:t xml:space="preserve">______</w:t>
      </w:r>
      <w:r>
        <w:rPr>
          <w:rFonts w:hint="eastAsia" w:asciiTheme="minorEastAsia" w:hAnsiTheme="minorEastAsia" w:eastAsiaTheme="minorEastAsia"/>
          <w:bCs/>
          <w:color w:val="000000" w:themeColor="text1"/>
          <w:szCs w:val="21"/>
        </w:rPr>
        <w:t xml:space="preserve">日</w:t>
      </w:r>
      <w:r/>
    </w:p>
    <w:p>
      <w:pPr>
        <w:jc w:val="left"/>
        <w:widowControl/>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zh-CN"/>
        </w:rPr>
        <w:t xml:space="preserve">3</w:t>
      </w:r>
      <w:r/>
    </w:p>
    <w:p>
      <w:pPr>
        <w:jc w:val="center"/>
        <w:spacing w:line="42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法定代表人身份证明</w:t>
      </w:r>
      <w:r/>
    </w:p>
    <w:p>
      <w:pP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___________先生/女士：现任我单位___________职务，为法定代表人，特此证明。</w:t>
      </w:r>
      <w:r/>
    </w:p>
    <w:p>
      <w:pPr>
        <w:ind w:firstLine="480"/>
        <w:spacing w:line="42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身份证号码：___________</w:t>
      </w:r>
      <w:r/>
    </w:p>
    <w:p>
      <w:pPr>
        <w:ind w:firstLine="480"/>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注：提供法定代表人的身份证复印件盖公章</w:t>
      </w:r>
      <w:r/>
    </w:p>
    <w:p>
      <w:pPr>
        <w:ind w:firstLine="480"/>
        <w:spacing w:line="420"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20" w:lineRule="exact"/>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zh-CN"/>
        </w:rPr>
        <w:t xml:space="preserve">4</w:t>
      </w:r>
      <w:r/>
    </w:p>
    <w:p>
      <w:pPr>
        <w:jc w:val="center"/>
        <w:spacing w:line="42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法人授权书</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本授权书声明：____________（供应商名称）授权________________（被授权人的姓名）为我方项目编号：</w:t>
      </w:r>
      <w:r>
        <w:rPr>
          <w:rFonts w:hint="eastAsia" w:cs="宋体"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rPr>
        <w:t xml:space="preserve">项目采购活动的合法代理人，以本单位名义全权处理一切与该项目采购有关的事务。</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本授权书于______年____月____日起生效，特此声明。</w:t>
      </w:r>
      <w:r/>
    </w:p>
    <w:p>
      <w:pPr>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w:t>
      </w:r>
      <w:r/>
    </w:p>
    <w:p>
      <w:pPr>
        <w:ind w:firstLine="1080"/>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被授权人身份证号码：</w:t>
      </w:r>
      <w:r/>
    </w:p>
    <w:p>
      <w:pPr>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被授权人联系电话：（手机）</w:t>
      </w:r>
      <w:r/>
    </w:p>
    <w:p>
      <w:pPr>
        <w:ind w:firstLine="120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授权单位名称：</w:t>
      </w:r>
      <w:r>
        <w:rPr>
          <w:rFonts w:hint="eastAsia" w:asciiTheme="minorEastAsia" w:hAnsiTheme="minorEastAsia" w:eastAsiaTheme="minorEastAsia"/>
          <w:color w:val="000000" w:themeColor="text1"/>
          <w:sz w:val="24"/>
          <w:szCs w:val="24"/>
          <w:u w:val="single"/>
        </w:rPr>
        <w:t xml:space="preserve">（加盖CA电子公章）</w:t>
      </w:r>
      <w:r/>
    </w:p>
    <w:p>
      <w:pPr>
        <w:ind w:firstLine="480"/>
        <w:spacing w:line="420" w:lineRule="exact"/>
        <w:tabs>
          <w:tab w:val="left" w:pos="360" w:leader="none"/>
        </w:tabs>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单位地址：</w:t>
      </w:r>
      <w:r/>
    </w:p>
    <w:p>
      <w:pPr>
        <w:ind w:firstLine="480"/>
        <w:spacing w:line="420" w:lineRule="exact"/>
        <w:tabs>
          <w:tab w:val="left" w:pos="360" w:leader="none"/>
        </w:tabs>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日期：</w:t>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contextualSpacing/>
        <w:spacing w:line="420" w:lineRule="exact"/>
        <w:rPr>
          <w:rFonts w:hint="eastAsia" w:asciiTheme="minorEastAsia" w:hAnsiTheme="minorEastAsia" w:eastAsiaTheme="minorEastAsia"/>
          <w:color w:val="000000" w:themeColor="text1"/>
          <w:sz w:val="32"/>
          <w:szCs w:val="32"/>
          <w:lang w:val="zh-CN" w:eastAsia="zh-CN"/>
        </w:rPr>
      </w:pPr>
      <w:r>
        <w:t xml:space="preserve"> </w:t>
      </w:r>
      <w:r>
        <w:rPr>
          <w:rFonts w:asciiTheme="minorEastAsia" w:hAnsiTheme="minorEastAsia" w:eastAsiaTheme="minorEastAsia"/>
          <w:color w:val="000000" w:themeColor="text1"/>
          <w:sz w:val="32"/>
          <w:szCs w:val="32"/>
          <w:lang w:val="zh-CN"/>
        </w:rPr>
        <w:t xml:space="preserve">附件</w:t>
      </w:r>
      <w:r>
        <w:rPr>
          <w:rFonts w:hint="eastAsia" w:asciiTheme="minorEastAsia" w:hAnsiTheme="minorEastAsia" w:eastAsiaTheme="minorEastAsia"/>
          <w:color w:val="000000" w:themeColor="text1"/>
          <w:sz w:val="32"/>
          <w:szCs w:val="32"/>
          <w:lang w:val="en-US" w:eastAsia="zh-CN"/>
        </w:rPr>
        <w:t xml:space="preserve">5</w:t>
      </w:r>
      <w:r/>
    </w:p>
    <w:p>
      <w:pPr>
        <w:pStyle w:val="718"/>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承诺函</w:t>
      </w:r>
      <w:r/>
    </w:p>
    <w:p>
      <w:pPr>
        <w:pStyle w:val="718"/>
        <w:ind w:left="0" w:firstLine="480"/>
        <w:jc w:val="both"/>
        <w:keepLines w:val="0"/>
        <w:keepNext w:val="0"/>
        <w:spacing w:before="0" w:beforeAutospacing="0" w:after="0" w:afterAutospacing="0" w:line="30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我单位承诺响应竞争性磋商文件二、申请人的资格要求：‘</w:t>
      </w:r>
      <w:r>
        <w:rPr>
          <w:rFonts w:hint="eastAsia" w:ascii="宋体" w:hAnsi="宋体" w:eastAsia="宋体" w:cs="宋体"/>
          <w:color w:val="000000"/>
          <w:sz w:val="24"/>
          <w:szCs w:val="24"/>
        </w:rPr>
        <w:t xml:space="preserve">3.</w:t>
      </w:r>
      <w:r>
        <w:rPr>
          <w:rFonts w:hint="eastAsia" w:ascii="宋体" w:hAnsi="宋体" w:eastAsia="宋体" w:cs="宋体"/>
          <w:color w:val="000000"/>
          <w:sz w:val="21"/>
          <w:szCs w:val="21"/>
        </w:rPr>
        <w:t xml:space="preserve"> </w:t>
      </w:r>
      <w:r>
        <w:rPr>
          <w:rFonts w:hint="default" w:ascii="Times New Roman" w:hAnsi="Times New Roman" w:cs="Times New Roman"/>
          <w:color w:val="000000"/>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1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响应供应商全称(盖公章)：</w:t>
      </w:r>
      <w:r/>
    </w:p>
    <w:p>
      <w:pPr>
        <w:pStyle w:val="71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法人代表或授权委托人（签字或盖章）：</w:t>
      </w:r>
      <w:r/>
    </w:p>
    <w:p>
      <w:pPr>
        <w:pStyle w:val="71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8"/>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2026年  月   日</w:t>
      </w:r>
      <w:r/>
    </w:p>
    <w:p>
      <w:pPr>
        <w:jc w:val="left"/>
        <w:widowControl/>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br w:type="page" w:clear="all"/>
      </w:r>
      <w:r/>
    </w:p>
    <w:p>
      <w:pPr>
        <w:spacing w:line="400" w:lineRule="exact"/>
        <w:rPr>
          <w:rFonts w:hint="eastAsia" w:asciiTheme="minorEastAsia" w:hAnsiTheme="minorEastAsia" w:eastAsiaTheme="minorEastAsia"/>
          <w:color w:val="000000" w:themeColor="text1"/>
          <w:sz w:val="32"/>
          <w:lang w:eastAsia="zh-CN"/>
        </w:rPr>
      </w:pPr>
      <w:r>
        <w:rPr>
          <w:rFonts w:hint="eastAsia" w:asciiTheme="minorEastAsia" w:hAnsiTheme="minorEastAsia" w:eastAsiaTheme="minorEastAsia"/>
          <w:color w:val="000000" w:themeColor="text1"/>
          <w:sz w:val="32"/>
        </w:rPr>
        <w:t xml:space="preserve">附件</w:t>
      </w:r>
      <w:r>
        <w:rPr>
          <w:rFonts w:hint="eastAsia" w:asciiTheme="minorEastAsia" w:hAnsiTheme="minorEastAsia" w:eastAsiaTheme="minorEastAsia"/>
          <w:color w:val="000000" w:themeColor="text1"/>
          <w:sz w:val="32"/>
          <w:lang w:val="en-US" w:eastAsia="zh-CN"/>
        </w:rPr>
        <w:t xml:space="preserve">6</w:t>
      </w:r>
      <w:r/>
    </w:p>
    <w:p>
      <w:pPr>
        <w:jc w:val="center"/>
        <w:spacing w:line="560" w:lineRule="exact"/>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磋商响应函</w:t>
      </w:r>
      <w:r/>
    </w:p>
    <w:p>
      <w:pPr>
        <w:jc w:val="left"/>
        <w:spacing w:line="420" w:lineRule="exact"/>
        <w:rPr>
          <w:rFonts w:hint="eastAsia" w:asciiTheme="minorEastAsia" w:hAnsiTheme="minorEastAsia" w:eastAsiaTheme="minorEastAsia"/>
          <w:color w:val="000000" w:themeColor="text1"/>
          <w:sz w:val="24"/>
          <w:szCs w:val="21"/>
          <w:u w:val="single"/>
          <w:lang w:eastAsia="zh-CN"/>
        </w:rPr>
      </w:pPr>
      <w:r>
        <w:rPr>
          <w:rFonts w:hint="eastAsia" w:asciiTheme="minorEastAsia" w:hAnsiTheme="minorEastAsia" w:eastAsiaTheme="minorEastAsia"/>
          <w:color w:val="000000" w:themeColor="text1"/>
          <w:sz w:val="24"/>
          <w:szCs w:val="21"/>
        </w:rPr>
        <w:t xml:space="preserve">致：</w:t>
      </w:r>
      <w:r>
        <w:rPr>
          <w:rFonts w:hint="eastAsia" w:asciiTheme="minorEastAsia" w:hAnsiTheme="minorEastAsia" w:eastAsiaTheme="minorEastAsia"/>
          <w:color w:val="000000" w:themeColor="text1"/>
          <w:sz w:val="24"/>
          <w:szCs w:val="21"/>
          <w:u w:val="single"/>
          <w:lang w:eastAsia="zh-CN"/>
        </w:rPr>
        <w:t xml:space="preserve">江苏省曲塘高级中学</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根据贵方的项目编号：</w:t>
      </w:r>
      <w:r>
        <w:rPr>
          <w:rFonts w:hint="eastAsia" w:asciiTheme="minorEastAsia" w:hAnsiTheme="minorEastAsia" w:eastAsiaTheme="minorEastAsia"/>
          <w:b/>
          <w:color w:val="000000" w:themeColor="text1"/>
          <w:sz w:val="36"/>
          <w:szCs w:val="24"/>
          <w:u w:val="single"/>
        </w:rPr>
        <w:t xml:space="preserve">    </w:t>
      </w:r>
      <w:r>
        <w:rPr>
          <w:rFonts w:hint="eastAsia" w:asciiTheme="minorEastAsia" w:hAnsiTheme="minorEastAsia" w:eastAsiaTheme="minorEastAsia"/>
          <w:color w:val="000000" w:themeColor="text1"/>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据此函，__________签字人兹宣布同意如下：</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2.我们完全理解贵方不一定将合同授予最低报价的供应商。</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4.我们同意从规定的开标日期起遵循本响应文件，并在规定的磋商有效期期满之前均具有约束力。</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7.我方与本磋商有关的正式通讯地址为：</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地          址：</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邮          编：</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电          话：</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传          真：</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供应商开户行：</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账          号： </w:t>
      </w:r>
      <w:r/>
    </w:p>
    <w:p>
      <w:pPr>
        <w:ind w:left="420" w:firstLine="480"/>
        <w:jc w:val="left"/>
        <w:spacing w:line="42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日           期：________年____月____日</w:t>
      </w:r>
      <w:r/>
    </w:p>
    <w:p>
      <w:pPr>
        <w:spacing w:line="400" w:lineRule="exac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r>
      <w:r/>
    </w:p>
    <w:p>
      <w:pPr>
        <w:ind w:left="420" w:firstLine="480"/>
        <w:jc w:val="left"/>
        <w:spacing w:line="440" w:lineRule="exact"/>
        <w:rPr>
          <w:rFonts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r>
      <w:r/>
    </w:p>
    <w:p>
      <w:pPr>
        <w:ind w:left="420" w:firstLine="2400"/>
        <w:jc w:val="left"/>
        <w:spacing w:line="44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响应供应商全称(盖公章)：</w:t>
      </w:r>
      <w:r/>
    </w:p>
    <w:p>
      <w:pPr>
        <w:ind w:left="420" w:firstLine="2400"/>
        <w:jc w:val="left"/>
        <w:spacing w:line="440" w:lineRule="exact"/>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法定代表人（签字或盖章）：</w:t>
      </w:r>
      <w:r/>
    </w:p>
    <w:p>
      <w:pPr>
        <w:jc w:val="left"/>
        <w:widowControl/>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7</w:t>
      </w:r>
      <w:r/>
    </w:p>
    <w:p>
      <w:pPr>
        <w:contextualSpacing/>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商务部分正负偏离表</w:t>
      </w:r>
      <w:r/>
    </w:p>
    <w:p>
      <w:pPr>
        <w:ind w:firstLine="560"/>
        <w:jc w:val="center"/>
        <w:spacing w:line="420" w:lineRule="exact"/>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磋商文件要求的商务条款</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bl>
    <w:p>
      <w:pPr>
        <w:contextualSpacing/>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1.供应商提交的响应文件中与磋商文件第三部分“项目需求”中的商务部分的要求，应逐条填列在偏离表中。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4.供应商若提供其他增值服务，可以在表中自行据实填写。</w:t>
      </w:r>
      <w:r/>
    </w:p>
    <w:p>
      <w:pPr>
        <w:contextualSpacing/>
        <w:ind w:firstLine="540"/>
        <w:spacing w:line="560" w:lineRule="exact"/>
        <w:rPr>
          <w:rFonts w:ascii="宋体" w:hAnsi="宋体" w:cs="宋体"/>
          <w:b/>
          <w:color w:val="000000" w:themeColor="text1"/>
          <w:sz w:val="28"/>
          <w:szCs w:val="28"/>
        </w:rPr>
      </w:pPr>
      <w:r>
        <w:rPr>
          <w:rFonts w:ascii="宋体" w:hAnsi="宋体" w:cs="宋体"/>
          <w:b/>
          <w:color w:val="000000" w:themeColor="text1"/>
          <w:sz w:val="28"/>
          <w:szCs w:val="28"/>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8</w:t>
      </w:r>
      <w:r/>
    </w:p>
    <w:p>
      <w:pPr>
        <w:contextualSpacing/>
        <w:jc w:val="center"/>
        <w:spacing w:line="420" w:lineRule="exact"/>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 xml:space="preserve">技术部分正负偏离表</w:t>
      </w:r>
      <w:r/>
    </w:p>
    <w:p>
      <w:pPr>
        <w:ind w:firstLine="560"/>
        <w:jc w:val="center"/>
        <w:spacing w:line="420" w:lineRule="exact"/>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磋商文件要求的技术要求</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bl>
    <w:p>
      <w:pPr>
        <w:contextualSpacing/>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注：</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1.供应商提交的响应文件中与磋商文件第三部分“项目需求”中的技术部分的要求，应逐条填列在偏离表中。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4.供应商若提供其他增值服务，可以在表中自行据实填写。</w:t>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contextualSpacing/>
        <w:spacing w:line="400" w:lineRule="exact"/>
        <w:rPr>
          <w:rFonts w:ascii="宋体" w:hAnsi="宋体"/>
          <w:bCs/>
          <w:color w:val="000000" w:themeColor="text1"/>
          <w:sz w:val="24"/>
          <w:szCs w:val="21"/>
        </w:rPr>
      </w:pPr>
      <w:r>
        <w:rPr>
          <w:rFonts w:ascii="宋体" w:hAnsi="宋体"/>
          <w:bCs/>
          <w:color w:val="000000" w:themeColor="text1"/>
          <w:sz w:val="24"/>
          <w:szCs w:val="21"/>
        </w:rPr>
        <w:br w:type="page" w:clear="all"/>
      </w:r>
      <w:r/>
    </w:p>
    <w:p>
      <w:pPr>
        <w:contextualSpacing/>
        <w:spacing w:line="400" w:lineRule="exact"/>
        <w:rPr>
          <w:rFonts w:hint="eastAsia" w:eastAsia="宋体"/>
          <w:color w:val="000000" w:themeColor="text1"/>
          <w:sz w:val="32"/>
          <w:szCs w:val="32"/>
          <w:lang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9</w:t>
      </w:r>
      <w:r/>
    </w:p>
    <w:p>
      <w:pPr>
        <w:jc w:val="center"/>
        <w:spacing w:before="100" w:beforeAutospacing="1" w:after="100" w:afterAutospacing="1" w:line="420" w:lineRule="exact"/>
        <w:widowControl/>
        <w:rPr>
          <w:rFonts w:cs="宋体" w:asciiTheme="minorEastAsia" w:hAnsiTheme="minorEastAsia" w:eastAsiaTheme="minorEastAsia"/>
          <w:color w:val="000000" w:themeColor="text1"/>
          <w:sz w:val="32"/>
          <w:szCs w:val="32"/>
        </w:rPr>
      </w:pPr>
      <w:r>
        <w:rPr>
          <w:rFonts w:hint="eastAsia" w:cs="宋体" w:asciiTheme="minorEastAsia" w:hAnsiTheme="minorEastAsia" w:eastAsiaTheme="minorEastAsia"/>
          <w:b/>
          <w:bCs/>
          <w:color w:val="000000" w:themeColor="text1"/>
          <w:sz w:val="32"/>
          <w:szCs w:val="32"/>
        </w:rPr>
        <w:t xml:space="preserve">报价总表</w:t>
      </w:r>
      <w:r/>
    </w:p>
    <w:p>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 xml:space="preserve">供应商全称（加盖公章）：</w:t>
      </w:r>
      <w:r/>
    </w:p>
    <w:p>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 xml:space="preserve">项目名称：</w:t>
      </w:r>
      <w:r/>
    </w:p>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项目编号：</w:t>
      </w:r>
      <w:r/>
    </w:p>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分包号：</w:t>
      </w:r>
      <w:r/>
    </w:p>
    <w:tbl>
      <w:tblPr>
        <w:tblStyle w:val="699"/>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1"/>
        <w:gridCol w:w="5316"/>
      </w:tblGrid>
      <w:tr>
        <w:trPr/>
        <w:tc>
          <w:tcPr>
            <w:tcW w:w="3851" w:type="dxa"/>
            <w:textDirection w:val="lrTb"/>
            <w:noWrap w:val="false"/>
          </w:tcPr>
          <w:p>
            <w:pPr>
              <w:jc w:val="cente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 xml:space="preserve">磋商</w:t>
            </w:r>
            <w:r>
              <w:rPr>
                <w:rFonts w:cs="宋体" w:asciiTheme="minorEastAsia" w:hAnsiTheme="minorEastAsia" w:eastAsiaTheme="minorEastAsia"/>
                <w:color w:val="000000" w:themeColor="text1"/>
                <w:sz w:val="28"/>
                <w:szCs w:val="28"/>
              </w:rPr>
              <w:t xml:space="preserve">货物、服务名称</w:t>
            </w:r>
            <w:r/>
          </w:p>
        </w:tc>
        <w:tc>
          <w:tcPr>
            <w:tcW w:w="5316" w:type="dxa"/>
            <w:textDirection w:val="lrTb"/>
            <w:noWrap w:val="false"/>
          </w:tcPr>
          <w:p>
            <w:pPr>
              <w:jc w:val="cente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磋商总</w:t>
            </w:r>
            <w:r>
              <w:rPr>
                <w:rFonts w:cs="宋体" w:asciiTheme="minorEastAsia" w:hAnsiTheme="minorEastAsia" w:eastAsiaTheme="minorEastAsia"/>
                <w:color w:val="000000" w:themeColor="text1"/>
                <w:sz w:val="28"/>
                <w:szCs w:val="28"/>
              </w:rPr>
              <w:t xml:space="preserve">价</w:t>
            </w:r>
            <w:r/>
          </w:p>
        </w:tc>
      </w:tr>
      <w:tr>
        <w:trPr>
          <w:trHeight w:val="1091"/>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c>
          <w:tcPr>
            <w:tcW w:w="5316" w:type="dxa"/>
            <w:textDirection w:val="lrTb"/>
            <w:noWrap w:val="false"/>
          </w:tcPr>
          <w:p>
            <w:pP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 xml:space="preserve">大写：</w:t>
            </w:r>
            <w:r>
              <w:rPr>
                <w:rFonts w:cs="宋体" w:asciiTheme="minorEastAsia" w:hAnsiTheme="minorEastAsia" w:eastAsiaTheme="minorEastAsia"/>
                <w:color w:val="000000" w:themeColor="text1"/>
                <w:sz w:val="28"/>
                <w:szCs w:val="28"/>
              </w:rPr>
              <w:br w:type="textWrapping" w:clear="all"/>
            </w:r>
            <w:r>
              <w:rPr>
                <w:rFonts w:cs="宋体" w:asciiTheme="minorEastAsia" w:hAnsiTheme="minorEastAsia" w:eastAsiaTheme="minorEastAsia"/>
                <w:color w:val="000000" w:themeColor="text1"/>
                <w:sz w:val="28"/>
                <w:szCs w:val="28"/>
              </w:rPr>
              <w:t xml:space="preserve">小写：</w:t>
            </w:r>
            <w:r>
              <w:rPr>
                <w:rFonts w:hint="eastAsia" w:asciiTheme="minorEastAsia" w:hAnsiTheme="minorEastAsia" w:eastAsiaTheme="minorEastAsia"/>
                <w:color w:val="000000" w:themeColor="text1"/>
                <w:sz w:val="24"/>
                <w:szCs w:val="24"/>
              </w:rPr>
              <w:t xml:space="preserve">元</w:t>
            </w:r>
            <w:r>
              <w:rPr>
                <w:rFonts w:cs="宋体" w:asciiTheme="minorEastAsia" w:hAnsiTheme="minorEastAsia" w:eastAsiaTheme="minorEastAsia"/>
                <w:color w:val="000000" w:themeColor="text1"/>
                <w:sz w:val="28"/>
                <w:szCs w:val="28"/>
              </w:rPr>
              <w:t xml:space="preserve">（人民币）</w:t>
            </w:r>
            <w:r/>
          </w:p>
        </w:tc>
      </w:tr>
      <w:tr>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cs="宋体" w:asciiTheme="minorEastAsia" w:hAnsiTheme="minorEastAsia" w:eastAsiaTheme="minorEastAsia"/>
                <w:color w:val="000000" w:themeColor="text1"/>
                <w:sz w:val="28"/>
                <w:szCs w:val="28"/>
              </w:rPr>
              <w:t xml:space="preserve">主要货物、服务制造商及产地</w:t>
            </w:r>
            <w:r/>
          </w:p>
        </w:tc>
        <w:tc>
          <w:tcPr>
            <w:tcW w:w="5316"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r>
      <w:tr>
        <w:trPr>
          <w:trHeight w:val="481"/>
        </w:trPr>
        <w:tc>
          <w:tcPr>
            <w:tcW w:w="3851" w:type="dxa"/>
            <w:textDirection w:val="lrTb"/>
            <w:noWrap w:val="false"/>
          </w:tcPr>
          <w:p>
            <w:pP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 xml:space="preserve">核心产品品牌（如有）</w:t>
            </w:r>
            <w:r/>
          </w:p>
        </w:tc>
        <w:tc>
          <w:tcPr>
            <w:tcW w:w="5316" w:type="dxa"/>
            <w:textDirection w:val="lrTb"/>
            <w:noWrap w:val="false"/>
          </w:tcPr>
          <w:p>
            <w:pPr>
              <w:spacing w:line="420" w:lineRule="exact"/>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tc>
      </w:tr>
    </w:tbl>
    <w:p>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日期：</w:t>
      </w:r>
      <w:r/>
    </w:p>
    <w:p>
      <w:pPr>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填写说明：</w:t>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报价总表</w:t>
      </w:r>
      <w:r>
        <w:rPr>
          <w:rFonts w:cs="宋体" w:asciiTheme="minorEastAsia" w:hAnsiTheme="minorEastAsia" w:eastAsiaTheme="minorEastAsia"/>
          <w:color w:val="000000" w:themeColor="text1"/>
          <w:sz w:val="24"/>
          <w:szCs w:val="24"/>
        </w:rPr>
        <w:t xml:space="preserve">必须加盖</w:t>
      </w:r>
      <w:r>
        <w:rPr>
          <w:rFonts w:hint="eastAsia" w:cs="宋体" w:asciiTheme="minorEastAsia" w:hAnsiTheme="minorEastAsia" w:eastAsiaTheme="minorEastAsia"/>
          <w:color w:val="000000" w:themeColor="text1"/>
          <w:sz w:val="24"/>
          <w:szCs w:val="24"/>
        </w:rPr>
        <w:t xml:space="preserve">供应商</w:t>
      </w:r>
      <w:r>
        <w:rPr>
          <w:rFonts w:cs="宋体" w:asciiTheme="minorEastAsia" w:hAnsiTheme="minorEastAsia" w:eastAsiaTheme="minorEastAsia"/>
          <w:color w:val="000000" w:themeColor="text1"/>
          <w:sz w:val="24"/>
          <w:szCs w:val="24"/>
        </w:rPr>
        <w:t xml:space="preserve">公章（复印件无效）。</w:t>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rPr>
          <w:rFonts w:cs="宋体" w:asciiTheme="minorEastAsia" w:hAnsiTheme="minorEastAsia" w:eastAsiaTheme="minorEastAsia"/>
          <w:color w:val="000000" w:themeColor="text1"/>
          <w:sz w:val="24"/>
          <w:szCs w:val="24"/>
        </w:rPr>
        <w:t xml:space="preserve">、如有分包，</w:t>
      </w:r>
      <w:r>
        <w:rPr>
          <w:rFonts w:hint="eastAsia" w:cs="宋体" w:asciiTheme="minorEastAsia" w:hAnsiTheme="minorEastAsia" w:eastAsiaTheme="minorEastAsia"/>
          <w:color w:val="000000" w:themeColor="text1"/>
          <w:sz w:val="24"/>
          <w:szCs w:val="24"/>
        </w:rPr>
        <w:t xml:space="preserve">供应商</w:t>
      </w:r>
      <w:r>
        <w:rPr>
          <w:rFonts w:cs="宋体" w:asciiTheme="minorEastAsia" w:hAnsiTheme="minorEastAsia" w:eastAsiaTheme="minorEastAsia"/>
          <w:color w:val="000000" w:themeColor="text1"/>
          <w:sz w:val="24"/>
          <w:szCs w:val="24"/>
        </w:rPr>
        <w:t xml:space="preserve">投任何一个包的标的，都需单独填写</w:t>
      </w:r>
      <w:r>
        <w:rPr>
          <w:rFonts w:hint="eastAsia" w:cs="宋体" w:asciiTheme="minorEastAsia" w:hAnsiTheme="minorEastAsia" w:eastAsiaTheme="minorEastAsia"/>
          <w:color w:val="000000" w:themeColor="text1"/>
          <w:sz w:val="24"/>
          <w:szCs w:val="24"/>
        </w:rPr>
        <w:t xml:space="preserve">报价总表</w:t>
      </w:r>
      <w:r>
        <w:rPr>
          <w:rFonts w:cs="宋体" w:asciiTheme="minorEastAsia" w:hAnsiTheme="minorEastAsia" w:eastAsiaTheme="minorEastAsia"/>
          <w:color w:val="000000" w:themeColor="text1"/>
          <w:sz w:val="24"/>
          <w:szCs w:val="24"/>
        </w:rPr>
        <w:t xml:space="preserve">。</w:t>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contextualSpacing/>
        <w:spacing w:line="400" w:lineRule="exact"/>
        <w:rPr>
          <w:rFonts w:hint="default" w:eastAsia="宋体"/>
          <w:color w:val="000000" w:themeColor="text1"/>
          <w:sz w:val="32"/>
          <w:szCs w:val="32"/>
          <w:lang w:val="en-US" w:eastAsia="zh-CN"/>
        </w:rPr>
      </w:pPr>
      <w:r>
        <w:rPr>
          <w:rFonts w:eastAsia="方正黑体_GBK"/>
          <w:color w:val="000000" w:themeColor="text1"/>
          <w:sz w:val="32"/>
          <w:szCs w:val="32"/>
        </w:rPr>
        <w:t xml:space="preserve">附件</w:t>
      </w:r>
      <w:r>
        <w:rPr>
          <w:rFonts w:hint="eastAsia" w:eastAsiaTheme="minorEastAsia"/>
          <w:color w:val="000000" w:themeColor="text1"/>
          <w:sz w:val="32"/>
          <w:szCs w:val="32"/>
          <w:lang w:val="en-US" w:eastAsia="zh-CN"/>
        </w:rPr>
        <w:t xml:space="preserve">10</w:t>
      </w:r>
      <w:r/>
    </w:p>
    <w:p>
      <w:pPr>
        <w:spacing w:line="400" w:lineRule="exact"/>
        <w:rPr>
          <w:rFonts w:ascii="仿宋_GB2312" w:eastAsia="仿宋_GB2312"/>
          <w:b/>
          <w:bCs/>
          <w:color w:val="000000" w:themeColor="text1"/>
          <w:sz w:val="28"/>
          <w:szCs w:val="28"/>
        </w:rPr>
      </w:pPr>
      <w:r>
        <w:rPr>
          <w:rFonts w:ascii="仿宋_GB2312" w:eastAsia="仿宋_GB2312"/>
          <w:b/>
          <w:bCs/>
          <w:color w:val="000000" w:themeColor="text1"/>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9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color w:val="000000" w:themeColor="text1"/>
          <w:sz w:val="28"/>
          <w:szCs w:val="28"/>
          <w:lang w:val="zh-CN"/>
        </w:rPr>
        <w:outlineLvl w:val="0"/>
      </w:pPr>
      <w:r>
        <w:rPr>
          <w:rFonts w:ascii="宋体" w:hAnsi="宋体" w:cs="宋体"/>
          <w:b/>
          <w:color w:val="000000" w:themeColor="text1"/>
          <w:sz w:val="28"/>
          <w:szCs w:val="28"/>
          <w:lang w:val="zh-CN"/>
        </w:rPr>
      </w:r>
      <w:r/>
    </w:p>
    <w:p>
      <w:pPr>
        <w:ind w:left="105" w:right="105"/>
        <w:jc w:val="left"/>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00" w:lineRule="auto"/>
        <w:rPr>
          <w:rFonts w:ascii="宋体" w:hAnsi="宋体" w:eastAsia="幼圆" w:cs="Arial"/>
          <w:b/>
          <w:color w:val="000000" w:themeColor="text1"/>
          <w:sz w:val="24"/>
          <w:szCs w:val="44"/>
        </w:rPr>
        <w:outlineLvl w:val="0"/>
      </w:pPr>
      <w:r>
        <w:rPr>
          <w:rFonts w:ascii="宋体" w:hAnsi="宋体" w:eastAsia="幼圆" w:cs="Arial"/>
          <w:b/>
          <w:color w:val="000000" w:themeColor="text1"/>
          <w:sz w:val="24"/>
          <w:szCs w:val="44"/>
        </w:rPr>
        <w:br w:type="page" w:clear="all"/>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w:t>
      </w:r>
      <w:r>
        <w:rPr>
          <w:rFonts w:hint="eastAsia" w:eastAsia="方正黑体_GBK"/>
          <w:color w:val="000000" w:themeColor="text1"/>
          <w:sz w:val="32"/>
          <w:szCs w:val="32"/>
        </w:rPr>
        <w:t xml:space="preserve">1</w:t>
      </w:r>
      <w:r>
        <w:rPr>
          <w:rFonts w:hint="eastAsia" w:eastAsiaTheme="minorEastAsia"/>
          <w:color w:val="000000" w:themeColor="text1"/>
          <w:sz w:val="32"/>
          <w:szCs w:val="32"/>
          <w:lang w:val="en-US" w:eastAsia="zh-CN"/>
        </w:rPr>
        <w:t xml:space="preserve">1</w:t>
      </w:r>
      <w:r/>
    </w:p>
    <w:p>
      <w:pPr>
        <w:jc w:val="center"/>
        <w:spacing w:line="300" w:lineRule="auto"/>
        <w:rPr>
          <w:rFonts w:ascii="Times New Roman" w:hAnsi="Times New Roman"/>
          <w:b/>
          <w:bCs/>
          <w:sz w:val="28"/>
          <w:szCs w:val="28"/>
          <w:lang w:val="en-US" w:bidi="zh-CN"/>
        </w:rPr>
        <w:outlineLvl w:val="0"/>
      </w:pPr>
      <w:r>
        <w:rPr>
          <w:rFonts w:ascii="Times New Roman" w:hAnsi="Times New Roman"/>
          <w:b/>
          <w:bCs/>
          <w:sz w:val="28"/>
          <w:szCs w:val="28"/>
          <w:lang w:val="en-US" w:bidi="zh-CN"/>
        </w:rPr>
        <w:t xml:space="preserve">中小企业声明函（货物）</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本公司（联合体）郑重声明，根据《政府采购促进中小企业发展管理办法》（财库</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2020</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46 号）的规定，本公司（联合体）参加</w:t>
      </w:r>
      <w:r>
        <w:rPr>
          <w:rFonts w:ascii="Times New Roman" w:hAnsi="Times New Roman"/>
          <w:sz w:val="28"/>
          <w:szCs w:val="28"/>
          <w:u w:val="single"/>
          <w:lang w:val="en-US" w:bidi="zh-CN"/>
        </w:rPr>
        <w:t xml:space="preserve">（单位名称）</w:t>
      </w:r>
      <w:r>
        <w:rPr>
          <w:rFonts w:ascii="Times New Roman" w:hAnsi="Times New Roman"/>
          <w:sz w:val="28"/>
          <w:szCs w:val="28"/>
          <w:lang w:val="en-US" w:bidi="zh-CN"/>
        </w:rPr>
        <w:t xml:space="preserve">的</w:t>
      </w:r>
      <w:r>
        <w:rPr>
          <w:rFonts w:ascii="Times New Roman" w:hAnsi="Times New Roman"/>
          <w:sz w:val="28"/>
          <w:szCs w:val="28"/>
          <w:u w:val="single"/>
          <w:lang w:val="en-US" w:bidi="zh-CN"/>
        </w:rPr>
        <w:t xml:space="preserve">（项目名称）</w:t>
      </w:r>
      <w:r>
        <w:rPr>
          <w:rFonts w:ascii="Times New Roman" w:hAnsi="Times New Roman"/>
          <w:sz w:val="28"/>
          <w:szCs w:val="28"/>
          <w:lang w:val="en-US"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 xml:space="preserve">，属于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sz w:val="28"/>
          <w:szCs w:val="28"/>
          <w:lang w:val="en-US" w:bidi="zh-CN"/>
        </w:rPr>
        <w:outlineLvl w:val="0"/>
      </w:pPr>
      <w:r>
        <w:rPr>
          <w:rFonts w:ascii="Times New Roman" w:hAnsi="Times New Roman"/>
          <w:sz w:val="28"/>
          <w:szCs w:val="28"/>
          <w:lang w:val="en-US" w:bidi="zh-CN"/>
        </w:rPr>
        <w:t xml:space="preserve">本企业对上述声明内容的真实性负责。如有虚假，将依法承担相应责任。</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spacing w:line="300" w:lineRule="auto"/>
        <w:rPr>
          <w:rFonts w:hint="eastAsia" w:ascii="Times New Roman" w:hAnsi="Times New Roman"/>
          <w:sz w:val="28"/>
          <w:szCs w:val="28"/>
          <w:lang w:val="en-US"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企业名称（盖章）：</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日期：</w:t>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附件1</w:t>
      </w:r>
      <w:r>
        <w:rPr>
          <w:rFonts w:hint="eastAsia" w:eastAsiaTheme="minorEastAsia"/>
          <w:color w:val="000000" w:themeColor="text1"/>
          <w:sz w:val="32"/>
          <w:szCs w:val="32"/>
          <w:lang w:val="en-US" w:eastAsia="zh-CN"/>
        </w:rPr>
        <w:t xml:space="preserve">2</w:t>
      </w:r>
      <w:r/>
    </w:p>
    <w:p>
      <w:pPr>
        <w:jc w:val="center"/>
        <w:spacing w:line="460" w:lineRule="exact"/>
        <w:rPr>
          <w:rFonts w:ascii="宋体" w:hAnsi="宋体"/>
          <w:b/>
          <w:color w:val="000000" w:themeColor="text1"/>
          <w:sz w:val="32"/>
          <w:szCs w:val="32"/>
        </w:rPr>
      </w:pPr>
      <w:r>
        <w:rPr>
          <w:rFonts w:hint="eastAsia" w:ascii="宋体" w:hAnsi="宋体"/>
          <w:b/>
          <w:color w:val="000000" w:themeColor="text1"/>
          <w:sz w:val="32"/>
          <w:szCs w:val="32"/>
        </w:rPr>
        <w:t xml:space="preserve">残疾人福利性单位声明函</w:t>
      </w:r>
      <w:r/>
    </w:p>
    <w:p>
      <w:pPr>
        <w:ind w:firstLine="560"/>
        <w:spacing w:line="588" w:lineRule="exact"/>
        <w:rPr>
          <w:rFonts w:ascii="宋体" w:hAnsi="宋体"/>
          <w:color w:val="000000" w:themeColor="text1"/>
          <w:sz w:val="24"/>
          <w:szCs w:val="24"/>
        </w:rPr>
      </w:pPr>
      <w:r>
        <w:rPr>
          <w:rFonts w:hint="eastAsia" w:ascii="宋体" w:hAnsi="宋体"/>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ind w:firstLine="560"/>
        <w:spacing w:line="588" w:lineRule="exact"/>
        <w:rPr>
          <w:rFonts w:ascii="宋体" w:hAnsi="宋体"/>
          <w:color w:val="000000" w:themeColor="text1"/>
          <w:sz w:val="24"/>
          <w:szCs w:val="24"/>
        </w:rPr>
      </w:pPr>
      <w:r>
        <w:rPr>
          <w:rFonts w:ascii="宋体" w:hAnsi="宋体"/>
          <w:color w:val="000000" w:themeColor="text1"/>
          <w:sz w:val="24"/>
          <w:szCs w:val="24"/>
        </w:rPr>
      </w:r>
      <w:r/>
    </w:p>
    <w:p>
      <w:pPr>
        <w:spacing w:line="300" w:lineRule="auto"/>
        <w:rPr>
          <w:rFonts w:ascii="宋体" w:hAnsi="宋体" w:cs="宋体"/>
          <w:color w:val="000000" w:themeColor="text1"/>
          <w:sz w:val="24"/>
          <w:szCs w:val="24"/>
        </w:rPr>
        <w:outlineLvl w:val="0"/>
      </w:pPr>
      <w:r>
        <w:rPr>
          <w:rFonts w:hint="eastAsia" w:ascii="宋体" w:hAnsi="宋体" w:cs="宋体"/>
          <w:color w:val="000000" w:themeColor="text1"/>
          <w:sz w:val="24"/>
          <w:szCs w:val="24"/>
          <w:lang w:bidi="zh-CN"/>
        </w:rPr>
        <w:t xml:space="preserve">注：1、供应商如不提供此声明函，价格将不做相应扣除。</w:t>
      </w:r>
      <w:r/>
    </w:p>
    <w:p>
      <w:pPr>
        <w:ind w:firstLine="560"/>
        <w:spacing w:line="588" w:lineRule="exact"/>
        <w:rPr>
          <w:rFonts w:ascii="仿宋_GB2312" w:eastAsia="仿宋_GB2312"/>
          <w:color w:val="000000" w:themeColor="text1"/>
          <w:spacing w:val="6"/>
          <w:sz w:val="24"/>
          <w:szCs w:val="24"/>
        </w:rPr>
      </w:pPr>
      <w:r>
        <w:rPr>
          <w:rFonts w:hint="eastAsia" w:ascii="宋体" w:hAnsi="宋体" w:cs="宋体"/>
          <w:color w:val="000000" w:themeColor="text1"/>
          <w:sz w:val="24"/>
          <w:szCs w:val="24"/>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000000" w:themeColor="text1"/>
          <w:spacing w:val="6"/>
          <w:sz w:val="24"/>
          <w:szCs w:val="24"/>
        </w:rPr>
      </w:pPr>
      <w:r>
        <w:rPr>
          <w:rFonts w:ascii="仿宋_GB2312" w:eastAsia="仿宋_GB2312"/>
          <w:color w:val="000000" w:themeColor="text1"/>
          <w:spacing w:val="6"/>
          <w:sz w:val="24"/>
          <w:szCs w:val="24"/>
        </w:rPr>
      </w:r>
      <w:r/>
    </w:p>
    <w:p>
      <w:pPr>
        <w:ind w:right="1560" w:firstLine="584"/>
        <w:jc w:val="center"/>
        <w:spacing w:line="588"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供应商全称（盖章）：</w:t>
      </w:r>
      <w:r/>
    </w:p>
    <w:p>
      <w:pPr>
        <w:ind w:right="1560" w:firstLine="560"/>
        <w:jc w:val="center"/>
        <w:spacing w:line="588"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日  期：</w:t>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eastAsiaTheme="minorEastAsia"/>
          <w:color w:val="000000" w:themeColor="text1"/>
          <w:sz w:val="32"/>
          <w:szCs w:val="32"/>
        </w:rPr>
        <w:outlineLvl w:val="0"/>
      </w:pPr>
      <w:r>
        <w:rPr>
          <w:rFonts w:eastAsiaTheme="minorEastAsia"/>
          <w:color w:val="000000" w:themeColor="text1"/>
          <w:sz w:val="32"/>
          <w:szCs w:val="32"/>
        </w:rPr>
      </w:r>
      <w:r/>
    </w:p>
    <w:p>
      <w:pPr>
        <w:spacing w:line="300" w:lineRule="auto"/>
        <w:rPr>
          <w:rFonts w:hint="eastAsia" w:eastAsia="宋体"/>
          <w:color w:val="000000" w:themeColor="text1"/>
          <w:sz w:val="32"/>
          <w:szCs w:val="32"/>
          <w:lang w:eastAsia="zh-CN"/>
        </w:rPr>
        <w:outlineLvl w:val="0"/>
      </w:pPr>
      <w:r>
        <w:rPr>
          <w:rFonts w:eastAsia="方正黑体_GBK"/>
          <w:color w:val="000000" w:themeColor="text1"/>
          <w:sz w:val="32"/>
          <w:szCs w:val="32"/>
        </w:rPr>
        <w:t xml:space="preserve">附件1</w:t>
      </w:r>
      <w:r>
        <w:rPr>
          <w:rFonts w:hint="eastAsia" w:eastAsiaTheme="minorEastAsia"/>
          <w:color w:val="000000" w:themeColor="text1"/>
          <w:sz w:val="32"/>
          <w:szCs w:val="32"/>
          <w:lang w:val="en-US" w:eastAsia="zh-CN"/>
        </w:rPr>
        <w:t xml:space="preserve">3</w:t>
      </w:r>
      <w:r/>
    </w:p>
    <w:p>
      <w:pPr>
        <w:jc w:val="center"/>
        <w:spacing w:line="420" w:lineRule="exact"/>
        <w:rPr>
          <w:b/>
          <w:bCs/>
          <w:color w:val="000000" w:themeColor="text1"/>
          <w:sz w:val="32"/>
          <w:szCs w:val="32"/>
        </w:rPr>
        <w:outlineLvl w:val="3"/>
      </w:pPr>
      <w:r>
        <w:rPr>
          <w:rFonts w:hint="eastAsia"/>
          <w:b/>
          <w:bCs/>
          <w:color w:val="000000" w:themeColor="text1"/>
          <w:sz w:val="32"/>
          <w:szCs w:val="32"/>
        </w:rPr>
        <w:t xml:space="preserve">监狱和戒毒企业证明材料</w:t>
      </w:r>
      <w:r/>
    </w:p>
    <w:p>
      <w:pPr>
        <w:ind w:firstLine="496"/>
        <w:spacing w:line="420" w:lineRule="exact"/>
        <w:rPr>
          <w:rFonts w:ascii="宋体" w:hAnsi="宋体" w:cs="宋体"/>
          <w:color w:val="000000" w:themeColor="text1"/>
          <w:sz w:val="28"/>
          <w:szCs w:val="28"/>
        </w:rPr>
      </w:pPr>
      <w:r>
        <w:rPr>
          <w:rFonts w:ascii="宋体" w:hAnsi="宋体" w:cs="宋体"/>
          <w:color w:val="000000" w:themeColor="text1"/>
          <w:sz w:val="28"/>
          <w:szCs w:val="28"/>
        </w:rPr>
      </w:r>
      <w:r/>
    </w:p>
    <w:p>
      <w:pPr>
        <w:ind w:firstLine="498"/>
        <w:spacing w:line="42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（格式自拟）</w:t>
      </w:r>
      <w:r/>
    </w:p>
    <w:p>
      <w:pPr>
        <w:ind w:firstLine="496"/>
        <w:spacing w:line="42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661"/>
        <w:spacing w:line="4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color w:val="000000" w:themeColor="text1"/>
          <w:sz w:val="24"/>
          <w:szCs w:val="24"/>
        </w:rPr>
      </w:r>
      <w:r/>
    </w:p>
    <w:p>
      <w:pPr>
        <w:spacing w:line="300" w:lineRule="auto"/>
        <w:rPr>
          <w:color w:val="000000" w:themeColor="text1"/>
          <w:sz w:val="24"/>
          <w:szCs w:val="24"/>
        </w:rPr>
        <w:outlineLvl w:val="0"/>
      </w:pPr>
      <w:r>
        <w:rPr>
          <w:rFonts w:hint="eastAsia"/>
          <w:color w:val="000000" w:themeColor="text1"/>
          <w:sz w:val="24"/>
          <w:szCs w:val="24"/>
        </w:rPr>
        <w:t xml:space="preserve">注：1、供应商如不提供此声明函，价格将不做相应扣除。</w:t>
      </w:r>
      <w:r/>
    </w:p>
    <w:p>
      <w:pPr>
        <w:ind w:firstLine="560"/>
        <w:spacing w:line="300" w:lineRule="auto"/>
        <w:rPr>
          <w:color w:val="000000" w:themeColor="text1"/>
          <w:sz w:val="24"/>
          <w:szCs w:val="24"/>
        </w:rPr>
        <w:outlineLvl w:val="0"/>
      </w:pPr>
      <w:r>
        <w:rPr>
          <w:rFonts w:hint="eastAsia"/>
          <w:color w:val="000000" w:themeColor="text1"/>
          <w:sz w:val="24"/>
          <w:szCs w:val="24"/>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000000" w:themeColor="text1"/>
          <w:sz w:val="24"/>
          <w:szCs w:val="24"/>
        </w:rPr>
        <w:outlineLvl w:val="0"/>
      </w:pPr>
      <w:r>
        <w:rPr>
          <w:color w:val="000000" w:themeColor="text1"/>
          <w:sz w:val="24"/>
          <w:szCs w:val="24"/>
        </w:rPr>
      </w:r>
      <w:r/>
    </w:p>
    <w:p>
      <w:pPr>
        <w:ind w:firstLine="360"/>
        <w:spacing w:line="560" w:lineRule="exact"/>
        <w:rPr>
          <w:rFonts w:ascii="华文新魏" w:hAnsi="宋体" w:eastAsia="华文新魏"/>
          <w:color w:val="000000" w:themeColor="text1"/>
          <w:sz w:val="24"/>
          <w:szCs w:val="24"/>
        </w:rPr>
      </w:pPr>
      <w:r>
        <w:rPr>
          <w:rFonts w:ascii="华文新魏" w:hAnsi="宋体" w:eastAsia="华文新魏"/>
          <w:color w:val="000000" w:themeColor="text1"/>
          <w:sz w:val="24"/>
          <w:szCs w:val="24"/>
        </w:rPr>
      </w:r>
      <w:r/>
    </w:p>
    <w:p>
      <w:pPr>
        <w:rPr>
          <w:rFonts w:ascii="黑体" w:hAnsi="黑体" w:eastAsia="黑体"/>
          <w:b/>
          <w:color w:val="000000" w:themeColor="text1"/>
          <w:sz w:val="32"/>
          <w:szCs w:val="32"/>
        </w:rPr>
      </w:pPr>
      <w:r>
        <w:rPr>
          <w:rFonts w:ascii="黑体" w:hAnsi="黑体" w:eastAsia="黑体"/>
          <w:b/>
          <w:color w:val="000000" w:themeColor="text1"/>
          <w:sz w:val="32"/>
          <w:szCs w:val="32"/>
        </w:rPr>
        <w:t xml:space="preserve"> </w:t>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spacing w:line="520" w:lineRule="exact"/>
        <w:rPr>
          <w:rFonts w:hint="default" w:eastAsia="宋体"/>
          <w:color w:val="000000" w:themeColor="text1"/>
          <w:sz w:val="32"/>
          <w:szCs w:val="32"/>
          <w:lang w:val="en-US" w:eastAsia="zh-CN"/>
        </w:rPr>
        <w:outlineLvl w:val="0"/>
      </w:pPr>
      <w:r>
        <w:rPr>
          <w:rFonts w:eastAsia="方正黑体_GBK"/>
          <w:color w:val="000000" w:themeColor="text1"/>
          <w:sz w:val="32"/>
          <w:szCs w:val="32"/>
        </w:rPr>
        <w:t xml:space="preserve">附件</w:t>
      </w:r>
      <w:r>
        <w:rPr>
          <w:rFonts w:hint="eastAsia" w:eastAsia="宋体"/>
          <w:color w:val="000000" w:themeColor="text1"/>
          <w:sz w:val="32"/>
          <w:szCs w:val="32"/>
          <w:lang w:val="en-US" w:eastAsia="zh-CN"/>
        </w:rPr>
        <w:t xml:space="preserve">14</w:t>
      </w:r>
      <w:r/>
    </w:p>
    <w:p>
      <w:pPr>
        <w:jc w:val="center"/>
        <w:spacing w:line="520" w:lineRule="exact"/>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质疑项目的编号：包号：</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520" w:lineRule="exact"/>
        <w:rPr>
          <w:rFonts w:ascii="宋体" w:hAnsi="宋体" w:cs="仿宋"/>
          <w:color w:val="000000" w:themeColor="text1"/>
          <w:sz w:val="24"/>
          <w:szCs w:val="24"/>
        </w:rPr>
      </w:pPr>
      <w:r>
        <w:rPr>
          <w:rFonts w:ascii="宋体" w:hAnsi="宋体" w:cs="仿宋"/>
          <w:color w:val="000000" w:themeColor="text1"/>
          <w:sz w:val="24"/>
          <w:szCs w:val="24"/>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520" w:lineRule="exact"/>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52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52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bookmarkEnd w:id="189"/>
      <w:r/>
      <w:bookmarkEnd w:id="190"/>
      <w:r/>
      <w:bookmarkEnd w:id="206"/>
      <w:r/>
      <w:r/>
    </w:p>
    <w:p>
      <w:pPr>
        <w:jc w:val="left"/>
        <w:widowControl/>
        <w:rPr>
          <w:rFonts w:eastAsia="方正黑体_GBK"/>
          <w:color w:val="000000" w:themeColor="text1"/>
          <w:sz w:val="32"/>
          <w:szCs w:val="32"/>
        </w:rPr>
      </w:pPr>
      <w:r>
        <w:rPr>
          <w:rFonts w:eastAsia="方正黑体_GBK"/>
          <w:color w:val="000000" w:themeColor="text1"/>
          <w:sz w:val="32"/>
          <w:szCs w:val="32"/>
        </w:rPr>
        <w:br w:type="page" w:clear="all"/>
      </w:r>
      <w:r/>
    </w:p>
    <w:p>
      <w:pPr>
        <w:spacing w:line="300" w:lineRule="auto"/>
        <w:rPr>
          <w:rFonts w:hint="eastAsia" w:ascii="仿宋_GB2312" w:eastAsia="宋体"/>
          <w:b/>
          <w:color w:val="000000" w:themeColor="text1"/>
          <w:sz w:val="32"/>
          <w:szCs w:val="32"/>
          <w:lang w:eastAsia="zh-CN"/>
        </w:rPr>
        <w:outlineLvl w:val="0"/>
      </w:pPr>
      <w:r>
        <w:rPr>
          <w:rFonts w:eastAsia="方正黑体_GBK"/>
          <w:color w:val="000000" w:themeColor="text1"/>
          <w:sz w:val="32"/>
          <w:szCs w:val="32"/>
        </w:rPr>
        <w:t xml:space="preserve">附件</w:t>
      </w:r>
      <w:r>
        <w:rPr>
          <w:rFonts w:hint="eastAsia" w:eastAsia="方正黑体_GBK"/>
          <w:color w:val="000000" w:themeColor="text1"/>
          <w:sz w:val="32"/>
          <w:szCs w:val="32"/>
        </w:rPr>
        <w:t xml:space="preserve">1</w:t>
      </w:r>
      <w:r>
        <w:rPr>
          <w:rFonts w:hint="eastAsia" w:eastAsiaTheme="minorEastAsia"/>
          <w:color w:val="000000" w:themeColor="text1"/>
          <w:sz w:val="32"/>
          <w:szCs w:val="32"/>
          <w:lang w:val="en-US" w:eastAsia="zh-CN"/>
        </w:rPr>
        <w:t xml:space="preserve">5</w:t>
      </w:r>
      <w:r/>
    </w:p>
    <w:p>
      <w:pPr>
        <w:jc w:val="center"/>
        <w:spacing w:line="420" w:lineRule="exact"/>
        <w:rPr>
          <w:rFonts w:asciiTheme="minorEastAsia" w:hAnsiTheme="minorEastAsia" w:eastAsiaTheme="minorEastAsia"/>
          <w:color w:val="000000" w:themeColor="text1"/>
          <w:sz w:val="44"/>
        </w:rPr>
      </w:pPr>
      <w:r>
        <w:rPr>
          <w:rFonts w:hint="eastAsia" w:asciiTheme="minorEastAsia" w:hAnsiTheme="minorEastAsia" w:eastAsiaTheme="minorEastAsia"/>
          <w:bCs/>
          <w:color w:val="000000" w:themeColor="text1"/>
          <w:sz w:val="44"/>
          <w:szCs w:val="44"/>
        </w:rPr>
        <w:t xml:space="preserve">办理政采贷和</w:t>
      </w:r>
      <w:r>
        <w:rPr>
          <w:rFonts w:asciiTheme="minorEastAsia" w:hAnsiTheme="minorEastAsia" w:eastAsiaTheme="minorEastAsia"/>
          <w:bCs/>
          <w:color w:val="000000" w:themeColor="text1"/>
          <w:sz w:val="44"/>
          <w:szCs w:val="44"/>
        </w:rPr>
        <w:t xml:space="preserve">履</w:t>
      </w:r>
      <w:r>
        <w:rPr>
          <w:rFonts w:hint="eastAsia" w:asciiTheme="minorEastAsia" w:hAnsiTheme="minorEastAsia" w:eastAsiaTheme="minorEastAsia"/>
          <w:bCs/>
          <w:color w:val="000000" w:themeColor="text1"/>
          <w:sz w:val="44"/>
          <w:szCs w:val="44"/>
        </w:rPr>
        <w:t xml:space="preserve">约保函（</w:t>
      </w:r>
      <w:r>
        <w:rPr>
          <w:rFonts w:asciiTheme="minorEastAsia" w:hAnsiTheme="minorEastAsia" w:eastAsiaTheme="minorEastAsia"/>
          <w:bCs/>
          <w:color w:val="000000" w:themeColor="text1"/>
          <w:sz w:val="44"/>
          <w:szCs w:val="44"/>
        </w:rPr>
        <w:t xml:space="preserve">保险</w:t>
      </w:r>
      <w:r>
        <w:rPr>
          <w:rFonts w:hint="eastAsia" w:asciiTheme="minorEastAsia" w:hAnsiTheme="minorEastAsia" w:eastAsiaTheme="minorEastAsia"/>
          <w:bCs/>
          <w:color w:val="000000" w:themeColor="text1"/>
          <w:sz w:val="44"/>
          <w:szCs w:val="44"/>
        </w:rPr>
        <w:t xml:space="preserve">）告知函</w:t>
      </w:r>
      <w:r/>
    </w:p>
    <w:p>
      <w:pPr>
        <w:rPr>
          <w:rFonts w:eastAsia="仿宋_GB2312"/>
          <w:color w:val="000000" w:themeColor="text1"/>
          <w:sz w:val="32"/>
        </w:rPr>
      </w:pPr>
      <w:r>
        <w:rPr>
          <w:rFonts w:eastAsia="仿宋_GB2312"/>
          <w:color w:val="000000" w:themeColor="text1"/>
          <w:sz w:val="32"/>
        </w:rPr>
      </w:r>
      <w:r/>
    </w:p>
    <w:p>
      <w:pPr>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各政府采购供应商：</w:t>
      </w:r>
      <w:r/>
    </w:p>
    <w:p>
      <w:pPr>
        <w:ind w:firstLine="640"/>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欢迎贵公司参与南通市政府采购活动！</w:t>
      </w:r>
      <w:r/>
    </w:p>
    <w:p>
      <w:pPr>
        <w:ind w:firstLine="640"/>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 xml:space="preserve">政府采购线上合同信用融资和</w:t>
      </w:r>
      <w:r>
        <w:rPr>
          <w:rFonts w:asciiTheme="minorEastAsia" w:hAnsiTheme="minorEastAsia" w:eastAsiaTheme="minorEastAsia"/>
          <w:color w:val="000000" w:themeColor="text1"/>
          <w:sz w:val="32"/>
        </w:rPr>
        <w:t xml:space="preserve">履</w:t>
      </w:r>
      <w:r>
        <w:rPr>
          <w:rFonts w:hint="eastAsia" w:asciiTheme="minorEastAsia" w:hAnsiTheme="minorEastAsia" w:eastAsiaTheme="minorEastAsia"/>
          <w:color w:val="000000" w:themeColor="text1"/>
          <w:sz w:val="32"/>
        </w:rPr>
        <w:t xml:space="preserve">约保函（</w:t>
      </w:r>
      <w:r>
        <w:rPr>
          <w:rFonts w:asciiTheme="minorEastAsia" w:hAnsiTheme="minorEastAsia" w:eastAsiaTheme="minorEastAsia"/>
          <w:color w:val="000000" w:themeColor="text1"/>
          <w:sz w:val="32"/>
        </w:rPr>
        <w:t xml:space="preserve">保险</w:t>
      </w:r>
      <w:r>
        <w:rPr>
          <w:rFonts w:hint="eastAsia" w:asciiTheme="minorEastAsia" w:hAnsiTheme="minorEastAsia" w:eastAsiaTheme="minorEastAsia"/>
          <w:color w:val="000000" w:themeColor="text1"/>
          <w:sz w:val="32"/>
        </w:rPr>
        <w:t xml:space="preserve">）是支持企业发展，针对参与政府采购活动的企业融资难、现金流不足等问题推出的一项服务举措。</w:t>
      </w:r>
      <w:r/>
    </w:p>
    <w:p>
      <w:pPr>
        <w:ind w:firstLine="640"/>
        <w:spacing w:line="500" w:lineRule="exact"/>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t xml:space="preserve">贵公司若成为本次政府采购项目的中标（成交）供应商，</w:t>
      </w:r>
      <w:r>
        <w:rPr>
          <w:rFonts w:hint="eastAsia" w:asciiTheme="minorEastAsia" w:hAnsiTheme="minorEastAsia" w:eastAsiaTheme="minorEastAsia"/>
          <w:color w:val="000000" w:themeColor="text1"/>
          <w:sz w:val="32"/>
          <w:szCs w:val="32"/>
        </w:rPr>
        <w:t xml:space="preserve">可自愿选择</w:t>
      </w:r>
      <w:r>
        <w:rPr>
          <w:rFonts w:asciiTheme="minorEastAsia" w:hAnsiTheme="minorEastAsia" w:eastAsiaTheme="minorEastAsia"/>
          <w:color w:val="000000" w:themeColor="text1"/>
          <w:sz w:val="32"/>
        </w:rPr>
        <w:t xml:space="preserve">履</w:t>
      </w:r>
      <w:r>
        <w:rPr>
          <w:rFonts w:hint="eastAsia" w:asciiTheme="minorEastAsia" w:hAnsiTheme="minorEastAsia" w:eastAsiaTheme="minorEastAsia"/>
          <w:color w:val="000000" w:themeColor="text1"/>
          <w:sz w:val="32"/>
        </w:rPr>
        <w:t xml:space="preserve">约保函（</w:t>
      </w:r>
      <w:r>
        <w:rPr>
          <w:rFonts w:asciiTheme="minorEastAsia" w:hAnsiTheme="minorEastAsia" w:eastAsiaTheme="minorEastAsia"/>
          <w:color w:val="000000" w:themeColor="text1"/>
          <w:sz w:val="32"/>
        </w:rPr>
        <w:t xml:space="preserve">保险</w:t>
      </w:r>
      <w:r>
        <w:rPr>
          <w:rFonts w:hint="eastAsia" w:asciiTheme="minorEastAsia" w:hAnsiTheme="minorEastAsia" w:eastAsiaTheme="minorEastAsia"/>
          <w:color w:val="000000" w:themeColor="text1"/>
          <w:sz w:val="32"/>
        </w:rPr>
        <w:t xml:space="preserve">）</w:t>
      </w:r>
      <w:r>
        <w:rPr>
          <w:rFonts w:hint="eastAsia" w:asciiTheme="minorEastAsia" w:hAnsiTheme="minorEastAsia" w:eastAsiaTheme="minorEastAsia"/>
          <w:color w:val="000000" w:themeColor="text1"/>
          <w:sz w:val="32"/>
          <w:szCs w:val="32"/>
        </w:rPr>
        <w:t xml:space="preserve">形式替代履约保证金，也</w:t>
      </w:r>
      <w:r>
        <w:rPr>
          <w:rFonts w:hint="eastAsia" w:asciiTheme="minorEastAsia" w:hAnsiTheme="minorEastAsia" w:eastAsiaTheme="minorEastAsia"/>
          <w:color w:val="000000" w:themeColor="text1"/>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jc w:val="left"/>
        <w:widowControl/>
        <w:rPr>
          <w:rFonts w:ascii="仿宋" w:hAnsi="仿宋" w:eastAsia="仿宋"/>
          <w:color w:val="000000" w:themeColor="text1"/>
          <w:sz w:val="32"/>
        </w:rPr>
      </w:pPr>
      <w:r>
        <w:rPr>
          <w:rFonts w:ascii="仿宋" w:hAnsi="仿宋" w:eastAsia="仿宋"/>
          <w:color w:val="000000" w:themeColor="text1"/>
          <w:sz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 PAGE   \* MERGEFORMAT </w:instrText>
    </w:r>
    <w:r>
      <w:fldChar w:fldCharType="separate"/>
    </w:r>
    <w:r>
      <w:rPr>
        <w:lang w:val="zh-CN"/>
      </w:rPr>
      <w:t xml:space="preserve">6</w:t>
    </w:r>
    <w:r>
      <w:rPr>
        <w:lang w:val="zh-CN"/>
      </w:rPr>
      <w:fldChar w:fldCharType="end"/>
    </w:r>
    <w:r/>
  </w:p>
  <w:p>
    <w:pPr>
      <w:pStyle w:val="94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19"/>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9">
    <w:name w:val="Heading 1"/>
    <w:basedOn w:val="688"/>
    <w:next w:val="688"/>
    <w:link w:val="760"/>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61"/>
    <w:uiPriority w:val="9"/>
    <w:qFormat/>
    <w:pPr>
      <w:keepLines/>
      <w:keepNext/>
      <w:spacing w:before="360" w:after="200"/>
      <w:outlineLvl w:val="1"/>
    </w:pPr>
    <w:rPr>
      <w:rFonts w:ascii="Arial" w:hAnsi="Arial" w:eastAsia="Arial" w:cs="Arial"/>
      <w:sz w:val="34"/>
    </w:rPr>
  </w:style>
  <w:style w:type="paragraph" w:styleId="691">
    <w:name w:val="Heading 3"/>
    <w:basedOn w:val="688"/>
    <w:next w:val="688"/>
    <w:link w:val="762"/>
    <w:uiPriority w:val="9"/>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63"/>
    <w:uiPriority w:val="9"/>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64"/>
    <w:uiPriority w:val="9"/>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65"/>
    <w:uiPriority w:val="9"/>
    <w:qFormat/>
    <w:pPr>
      <w:keepLines/>
      <w:keepNext/>
      <w:spacing w:before="320" w:after="200"/>
      <w:outlineLvl w:val="5"/>
    </w:pPr>
    <w:rPr>
      <w:rFonts w:ascii="Arial" w:hAnsi="Arial" w:eastAsia="Arial" w:cs="Arial"/>
      <w:b/>
      <w:bCs/>
      <w:sz w:val="22"/>
    </w:rPr>
  </w:style>
  <w:style w:type="paragraph" w:styleId="695">
    <w:name w:val="Heading 7"/>
    <w:basedOn w:val="688"/>
    <w:next w:val="688"/>
    <w:link w:val="766"/>
    <w:uiPriority w:val="9"/>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67"/>
    <w:uiPriority w:val="9"/>
    <w:qFormat/>
    <w:pPr>
      <w:keepLines/>
      <w:keepNext/>
      <w:spacing w:before="320" w:after="200"/>
      <w:outlineLvl w:val="7"/>
    </w:pPr>
    <w:rPr>
      <w:rFonts w:ascii="Arial" w:hAnsi="Arial" w:eastAsia="Arial" w:cs="Arial"/>
      <w:i/>
      <w:iCs/>
      <w:sz w:val="22"/>
    </w:rPr>
  </w:style>
  <w:style w:type="paragraph" w:styleId="697">
    <w:name w:val="Heading 9"/>
    <w:basedOn w:val="688"/>
    <w:next w:val="688"/>
    <w:link w:val="768"/>
    <w:uiPriority w:val="9"/>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0"/>
    <w:semiHidden/>
    <w:qFormat/>
    <w:pPr>
      <w:ind w:left="1260"/>
      <w:jc w:val="left"/>
    </w:pPr>
    <w:rPr>
      <w:szCs w:val="21"/>
    </w:rPr>
  </w:style>
  <w:style w:type="paragraph" w:styleId="701">
    <w:name w:val="Caption"/>
    <w:basedOn w:val="688"/>
    <w:next w:val="688"/>
    <w:uiPriority w:val="35"/>
    <w:qFormat/>
    <w:pPr>
      <w:spacing w:line="276" w:lineRule="auto"/>
    </w:pPr>
    <w:rPr>
      <w:b/>
      <w:bCs/>
      <w:color w:val="4f81bd"/>
      <w:sz w:val="18"/>
      <w:szCs w:val="18"/>
    </w:rPr>
  </w:style>
  <w:style w:type="paragraph" w:styleId="702">
    <w:name w:val="annotation text"/>
    <w:basedOn w:val="688"/>
    <w:link w:val="1007"/>
    <w:uiPriority w:val="99"/>
    <w:semiHidden/>
    <w:unhideWhenUsed/>
    <w:qFormat/>
    <w:pPr>
      <w:jc w:val="left"/>
    </w:pPr>
  </w:style>
  <w:style w:type="paragraph" w:styleId="703">
    <w:name w:val="toc 5"/>
    <w:basedOn w:val="688"/>
    <w:next w:val="688"/>
    <w:uiPriority w:val="0"/>
    <w:semiHidden/>
    <w:qFormat/>
    <w:pPr>
      <w:ind w:left="840"/>
      <w:jc w:val="left"/>
    </w:pPr>
    <w:rPr>
      <w:szCs w:val="21"/>
    </w:rPr>
  </w:style>
  <w:style w:type="paragraph" w:styleId="704">
    <w:name w:val="toc 3"/>
    <w:basedOn w:val="688"/>
    <w:next w:val="688"/>
    <w:uiPriority w:val="0"/>
    <w:semiHidden/>
    <w:qFormat/>
    <w:pPr>
      <w:ind w:left="420"/>
      <w:jc w:val="left"/>
    </w:pPr>
    <w:rPr>
      <w:i/>
      <w:iCs/>
      <w:szCs w:val="24"/>
    </w:rPr>
  </w:style>
  <w:style w:type="paragraph" w:styleId="705">
    <w:name w:val="toc 8"/>
    <w:basedOn w:val="688"/>
    <w:next w:val="688"/>
    <w:uiPriority w:val="0"/>
    <w:semiHidden/>
    <w:qFormat/>
    <w:pPr>
      <w:ind w:left="1470"/>
      <w:jc w:val="left"/>
    </w:pPr>
    <w:rPr>
      <w:szCs w:val="21"/>
    </w:rPr>
  </w:style>
  <w:style w:type="paragraph" w:styleId="706">
    <w:name w:val="endnote text"/>
    <w:basedOn w:val="688"/>
    <w:link w:val="769"/>
    <w:uiPriority w:val="99"/>
    <w:unhideWhenUsed/>
    <w:qFormat/>
    <w:rPr>
      <w:sz w:val="20"/>
    </w:rPr>
  </w:style>
  <w:style w:type="paragraph" w:styleId="707">
    <w:name w:val="Balloon Text"/>
    <w:basedOn w:val="688"/>
    <w:link w:val="1006"/>
    <w:uiPriority w:val="99"/>
    <w:semiHidden/>
    <w:unhideWhenUsed/>
    <w:rPr>
      <w:sz w:val="18"/>
      <w:szCs w:val="18"/>
    </w:rPr>
  </w:style>
  <w:style w:type="paragraph" w:styleId="708">
    <w:name w:val="Footer"/>
    <w:basedOn w:val="688"/>
    <w:link w:val="770"/>
    <w:uiPriority w:val="99"/>
    <w:unhideWhenUsed/>
    <w:qFormat/>
    <w:pPr>
      <w:tabs>
        <w:tab w:val="center" w:pos="7143" w:leader="none"/>
        <w:tab w:val="right" w:pos="14287" w:leader="none"/>
      </w:tabs>
    </w:pPr>
  </w:style>
  <w:style w:type="paragraph" w:styleId="709">
    <w:name w:val="Header"/>
    <w:basedOn w:val="688"/>
    <w:link w:val="771"/>
    <w:uiPriority w:val="99"/>
    <w:unhideWhenUsed/>
    <w:qFormat/>
    <w:pPr>
      <w:tabs>
        <w:tab w:val="center" w:pos="7143" w:leader="none"/>
        <w:tab w:val="right" w:pos="14287" w:leader="none"/>
      </w:tabs>
    </w:pPr>
  </w:style>
  <w:style w:type="paragraph" w:styleId="710">
    <w:name w:val="toc 1"/>
    <w:basedOn w:val="688"/>
    <w:next w:val="688"/>
    <w:uiPriority w:val="0"/>
    <w:semiHidden/>
    <w:pPr>
      <w:jc w:val="left"/>
      <w:spacing w:before="120" w:after="120" w:line="400" w:lineRule="exact"/>
      <w:tabs>
        <w:tab w:val="right" w:pos="8720" w:leader="dot"/>
      </w:tabs>
    </w:pPr>
    <w:rPr>
      <w:rFonts w:ascii="宋体" w:hAnsi="宋体"/>
      <w:caps/>
      <w:sz w:val="24"/>
      <w:szCs w:val="24"/>
    </w:rPr>
  </w:style>
  <w:style w:type="paragraph" w:styleId="711">
    <w:name w:val="toc 4"/>
    <w:basedOn w:val="688"/>
    <w:next w:val="688"/>
    <w:uiPriority w:val="0"/>
    <w:semiHidden/>
    <w:qFormat/>
    <w:pPr>
      <w:ind w:left="630"/>
      <w:jc w:val="left"/>
    </w:pPr>
    <w:rPr>
      <w:szCs w:val="21"/>
    </w:rPr>
  </w:style>
  <w:style w:type="paragraph" w:styleId="712">
    <w:name w:val="Subtitle"/>
    <w:basedOn w:val="688"/>
    <w:next w:val="688"/>
    <w:link w:val="772"/>
    <w:uiPriority w:val="11"/>
    <w:qFormat/>
    <w:pPr>
      <w:spacing w:before="200" w:after="200"/>
    </w:pPr>
    <w:rPr>
      <w:sz w:val="24"/>
      <w:szCs w:val="24"/>
    </w:rPr>
  </w:style>
  <w:style w:type="paragraph" w:styleId="713">
    <w:name w:val="footnote text"/>
    <w:basedOn w:val="688"/>
    <w:link w:val="773"/>
    <w:uiPriority w:val="99"/>
    <w:unhideWhenUsed/>
    <w:qFormat/>
    <w:pPr>
      <w:spacing w:after="40"/>
    </w:pPr>
    <w:rPr>
      <w:sz w:val="18"/>
    </w:rPr>
  </w:style>
  <w:style w:type="paragraph" w:styleId="714">
    <w:name w:val="toc 6"/>
    <w:basedOn w:val="688"/>
    <w:next w:val="688"/>
    <w:uiPriority w:val="0"/>
    <w:semiHidden/>
    <w:pPr>
      <w:ind w:left="1050"/>
      <w:jc w:val="left"/>
    </w:pPr>
    <w:rPr>
      <w:szCs w:val="21"/>
    </w:rPr>
  </w:style>
  <w:style w:type="paragraph" w:styleId="715">
    <w:name w:val="table of figures"/>
    <w:basedOn w:val="688"/>
    <w:next w:val="688"/>
    <w:uiPriority w:val="99"/>
    <w:unhideWhenUsed/>
    <w:qFormat/>
  </w:style>
  <w:style w:type="paragraph" w:styleId="716">
    <w:name w:val="toc 2"/>
    <w:basedOn w:val="688"/>
    <w:next w:val="688"/>
    <w:uiPriority w:val="0"/>
    <w:semiHidden/>
    <w:pPr>
      <w:ind w:left="210"/>
      <w:jc w:val="left"/>
    </w:pPr>
    <w:rPr>
      <w:smallCaps/>
      <w:szCs w:val="24"/>
    </w:rPr>
  </w:style>
  <w:style w:type="paragraph" w:styleId="717">
    <w:name w:val="toc 9"/>
    <w:basedOn w:val="688"/>
    <w:next w:val="688"/>
    <w:uiPriority w:val="0"/>
    <w:semiHidden/>
    <w:qFormat/>
    <w:pPr>
      <w:ind w:left="1680"/>
      <w:jc w:val="left"/>
    </w:pPr>
    <w:rPr>
      <w:szCs w:val="21"/>
    </w:rPr>
  </w:style>
  <w:style w:type="paragraph" w:styleId="718">
    <w:name w:val="Normal (Web)"/>
    <w:basedOn w:val="688"/>
    <w:uiPriority w:val="99"/>
    <w:semiHidden/>
    <w:unhideWhenUsed/>
    <w:pPr>
      <w:ind w:left="0" w:right="0"/>
      <w:jc w:val="left"/>
      <w:spacing w:before="0" w:beforeAutospacing="1" w:after="0" w:afterAutospacing="1"/>
    </w:pPr>
    <w:rPr>
      <w:sz w:val="24"/>
      <w:lang w:val="en-US" w:eastAsia="zh-CN" w:bidi="ar"/>
    </w:rPr>
  </w:style>
  <w:style w:type="paragraph" w:styleId="719">
    <w:name w:val="Title"/>
    <w:basedOn w:val="688"/>
    <w:next w:val="688"/>
    <w:link w:val="774"/>
    <w:uiPriority w:val="10"/>
    <w:qFormat/>
    <w:pPr>
      <w:contextualSpacing/>
      <w:spacing w:before="300" w:after="200"/>
    </w:pPr>
    <w:rPr>
      <w:sz w:val="48"/>
      <w:szCs w:val="48"/>
    </w:rPr>
  </w:style>
  <w:style w:type="paragraph" w:styleId="720">
    <w:name w:val="annotation subject"/>
    <w:basedOn w:val="702"/>
    <w:next w:val="702"/>
    <w:link w:val="1008"/>
    <w:uiPriority w:val="99"/>
    <w:semiHidden/>
    <w:unhideWhenUsed/>
    <w:rPr>
      <w:b/>
      <w:bCs/>
    </w:rPr>
  </w:style>
  <w:style w:type="table" w:styleId="721">
    <w:name w:val="Table Grid"/>
    <w:uiPriority w:val="59"/>
    <w:qFormat/>
    <w:tblPr>
      <w:tblCellMar>
        <w:left w:w="0" w:type="dxa"/>
        <w:top w:w="0" w:type="dxa"/>
        <w:right w:w="0" w:type="dxa"/>
        <w:bottom w:w="0" w:type="dxa"/>
      </w:tblCellMar>
    </w:tblPr>
  </w:style>
  <w:style w:type="character" w:styleId="722">
    <w:name w:val="Strong"/>
    <w:basedOn w:val="698"/>
    <w:uiPriority w:val="22"/>
    <w:qFormat/>
    <w:rPr>
      <w:b/>
    </w:rPr>
  </w:style>
  <w:style w:type="character" w:styleId="723">
    <w:name w:val="endnote reference"/>
    <w:uiPriority w:val="99"/>
    <w:unhideWhenUsed/>
    <w:qFormat/>
    <w:rPr>
      <w:vertAlign w:val="superscript"/>
    </w:rPr>
  </w:style>
  <w:style w:type="character" w:styleId="724">
    <w:name w:val="Hyperlink"/>
    <w:uiPriority w:val="99"/>
    <w:unhideWhenUsed/>
    <w:qFormat/>
    <w:rPr>
      <w:color w:val="0000ff"/>
      <w:u w:val="single"/>
    </w:rPr>
  </w:style>
  <w:style w:type="character" w:styleId="725">
    <w:name w:val="annotation reference"/>
    <w:basedOn w:val="698"/>
    <w:uiPriority w:val="99"/>
    <w:semiHidden/>
    <w:unhideWhenUsed/>
    <w:qFormat/>
    <w:rPr>
      <w:sz w:val="21"/>
      <w:szCs w:val="21"/>
    </w:rPr>
  </w:style>
  <w:style w:type="character" w:styleId="726">
    <w:name w:val="footnote reference"/>
    <w:uiPriority w:val="99"/>
    <w:unhideWhenUsed/>
    <w:rPr>
      <w:vertAlign w:val="superscript"/>
    </w:rPr>
  </w:style>
  <w:style w:type="paragraph" w:styleId="727" w:customStyle="1">
    <w:name w:val="Heading 1"/>
    <w:basedOn w:val="688"/>
    <w:next w:val="688"/>
    <w:link w:val="728"/>
    <w:uiPriority w:val="9"/>
    <w:qFormat/>
    <w:pPr>
      <w:keepLines/>
      <w:keepNext/>
      <w:spacing w:before="480" w:after="200"/>
      <w:outlineLvl w:val="0"/>
    </w:pPr>
    <w:rPr>
      <w:rFonts w:ascii="Arial" w:hAnsi="Arial" w:eastAsia="Arial" w:cs="Arial"/>
      <w:sz w:val="40"/>
      <w:szCs w:val="40"/>
    </w:rPr>
  </w:style>
  <w:style w:type="character" w:styleId="728" w:customStyle="1">
    <w:name w:val="Heading 1 Char"/>
    <w:link w:val="727"/>
    <w:uiPriority w:val="9"/>
    <w:qFormat/>
    <w:rPr>
      <w:rFonts w:ascii="Arial" w:hAnsi="Arial" w:eastAsia="Arial" w:cs="Arial"/>
      <w:sz w:val="40"/>
      <w:szCs w:val="40"/>
    </w:rPr>
  </w:style>
  <w:style w:type="paragraph" w:styleId="729" w:customStyle="1">
    <w:name w:val="Heading 2"/>
    <w:basedOn w:val="688"/>
    <w:next w:val="688"/>
    <w:link w:val="730"/>
    <w:uiPriority w:val="9"/>
    <w:unhideWhenUsed/>
    <w:qFormat/>
    <w:pPr>
      <w:keepLines/>
      <w:keepNext/>
      <w:spacing w:before="360" w:after="200"/>
      <w:outlineLvl w:val="1"/>
    </w:pPr>
    <w:rPr>
      <w:rFonts w:ascii="Arial" w:hAnsi="Arial" w:eastAsia="Arial" w:cs="Arial"/>
      <w:sz w:val="34"/>
    </w:rPr>
  </w:style>
  <w:style w:type="character" w:styleId="730" w:customStyle="1">
    <w:name w:val="Heading 2 Char"/>
    <w:link w:val="729"/>
    <w:uiPriority w:val="9"/>
    <w:qFormat/>
    <w:rPr>
      <w:rFonts w:ascii="Arial" w:hAnsi="Arial" w:eastAsia="Arial" w:cs="Arial"/>
      <w:sz w:val="34"/>
    </w:rPr>
  </w:style>
  <w:style w:type="paragraph" w:styleId="731" w:customStyle="1">
    <w:name w:val="Heading 3"/>
    <w:basedOn w:val="688"/>
    <w:next w:val="688"/>
    <w:link w:val="732"/>
    <w:uiPriority w:val="9"/>
    <w:unhideWhenUsed/>
    <w:qFormat/>
    <w:pPr>
      <w:keepLines/>
      <w:keepNext/>
      <w:spacing w:before="320" w:after="200"/>
      <w:outlineLvl w:val="2"/>
    </w:pPr>
    <w:rPr>
      <w:rFonts w:ascii="Arial" w:hAnsi="Arial" w:eastAsia="Arial" w:cs="Arial"/>
      <w:sz w:val="30"/>
      <w:szCs w:val="30"/>
    </w:rPr>
  </w:style>
  <w:style w:type="character" w:styleId="732" w:customStyle="1">
    <w:name w:val="Heading 3 Char"/>
    <w:link w:val="731"/>
    <w:uiPriority w:val="9"/>
    <w:qFormat/>
    <w:rPr>
      <w:rFonts w:ascii="Arial" w:hAnsi="Arial" w:eastAsia="Arial" w:cs="Arial"/>
      <w:sz w:val="30"/>
      <w:szCs w:val="30"/>
    </w:rPr>
  </w:style>
  <w:style w:type="paragraph" w:styleId="733" w:customStyle="1">
    <w:name w:val="Heading 4"/>
    <w:basedOn w:val="688"/>
    <w:next w:val="688"/>
    <w:link w:val="734"/>
    <w:uiPriority w:val="9"/>
    <w:unhideWhenUsed/>
    <w:qFormat/>
    <w:pPr>
      <w:keepLines/>
      <w:keepNext/>
      <w:spacing w:before="320" w:after="200"/>
      <w:outlineLvl w:val="3"/>
    </w:pPr>
    <w:rPr>
      <w:rFonts w:ascii="Arial" w:hAnsi="Arial" w:eastAsia="Arial" w:cs="Arial"/>
      <w:b/>
      <w:bCs/>
      <w:sz w:val="26"/>
      <w:szCs w:val="26"/>
    </w:rPr>
  </w:style>
  <w:style w:type="character" w:styleId="734" w:customStyle="1">
    <w:name w:val="Heading 4 Char"/>
    <w:link w:val="733"/>
    <w:uiPriority w:val="9"/>
    <w:qFormat/>
    <w:rPr>
      <w:rFonts w:ascii="Arial" w:hAnsi="Arial" w:eastAsia="Arial" w:cs="Arial"/>
      <w:b/>
      <w:bCs/>
      <w:sz w:val="26"/>
      <w:szCs w:val="26"/>
    </w:rPr>
  </w:style>
  <w:style w:type="paragraph" w:styleId="735" w:customStyle="1">
    <w:name w:val="Heading 5"/>
    <w:basedOn w:val="688"/>
    <w:next w:val="688"/>
    <w:link w:val="736"/>
    <w:uiPriority w:val="9"/>
    <w:unhideWhenUsed/>
    <w:qFormat/>
    <w:pPr>
      <w:keepLines/>
      <w:keepNext/>
      <w:spacing w:before="320" w:after="200"/>
      <w:outlineLvl w:val="4"/>
    </w:pPr>
    <w:rPr>
      <w:rFonts w:ascii="Arial" w:hAnsi="Arial" w:eastAsia="Arial" w:cs="Arial"/>
      <w:b/>
      <w:bCs/>
      <w:sz w:val="24"/>
      <w:szCs w:val="24"/>
    </w:rPr>
  </w:style>
  <w:style w:type="character" w:styleId="736" w:customStyle="1">
    <w:name w:val="Heading 5 Char"/>
    <w:link w:val="735"/>
    <w:uiPriority w:val="9"/>
    <w:qFormat/>
    <w:rPr>
      <w:rFonts w:ascii="Arial" w:hAnsi="Arial" w:eastAsia="Arial" w:cs="Arial"/>
      <w:b/>
      <w:bCs/>
      <w:sz w:val="24"/>
      <w:szCs w:val="24"/>
    </w:rPr>
  </w:style>
  <w:style w:type="paragraph" w:styleId="737" w:customStyle="1">
    <w:name w:val="Heading 6"/>
    <w:basedOn w:val="688"/>
    <w:next w:val="688"/>
    <w:link w:val="738"/>
    <w:uiPriority w:val="9"/>
    <w:unhideWhenUsed/>
    <w:qFormat/>
    <w:pPr>
      <w:keepLines/>
      <w:keepNext/>
      <w:spacing w:before="320" w:after="200"/>
      <w:outlineLvl w:val="5"/>
    </w:pPr>
    <w:rPr>
      <w:rFonts w:ascii="Arial" w:hAnsi="Arial" w:eastAsia="Arial" w:cs="Arial"/>
      <w:b/>
      <w:bCs/>
      <w:sz w:val="22"/>
    </w:rPr>
  </w:style>
  <w:style w:type="character" w:styleId="738" w:customStyle="1">
    <w:name w:val="Heading 6 Char"/>
    <w:link w:val="737"/>
    <w:uiPriority w:val="9"/>
    <w:rPr>
      <w:rFonts w:ascii="Arial" w:hAnsi="Arial" w:eastAsia="Arial" w:cs="Arial"/>
      <w:b/>
      <w:bCs/>
      <w:sz w:val="22"/>
      <w:szCs w:val="22"/>
    </w:rPr>
  </w:style>
  <w:style w:type="paragraph" w:styleId="739" w:customStyle="1">
    <w:name w:val="Heading 7"/>
    <w:basedOn w:val="688"/>
    <w:next w:val="688"/>
    <w:link w:val="740"/>
    <w:uiPriority w:val="9"/>
    <w:unhideWhenUsed/>
    <w:qFormat/>
    <w:pPr>
      <w:keepLines/>
      <w:keepNext/>
      <w:spacing w:before="320" w:after="200"/>
      <w:outlineLvl w:val="6"/>
    </w:pPr>
    <w:rPr>
      <w:rFonts w:ascii="Arial" w:hAnsi="Arial" w:eastAsia="Arial" w:cs="Arial"/>
      <w:b/>
      <w:bCs/>
      <w:i/>
      <w:iCs/>
      <w:sz w:val="22"/>
    </w:rPr>
  </w:style>
  <w:style w:type="character" w:styleId="740" w:customStyle="1">
    <w:name w:val="Heading 7 Char"/>
    <w:link w:val="739"/>
    <w:uiPriority w:val="9"/>
    <w:qFormat/>
    <w:rPr>
      <w:rFonts w:ascii="Arial" w:hAnsi="Arial" w:eastAsia="Arial" w:cs="Arial"/>
      <w:b/>
      <w:bCs/>
      <w:i/>
      <w:iCs/>
      <w:sz w:val="22"/>
      <w:szCs w:val="22"/>
    </w:rPr>
  </w:style>
  <w:style w:type="paragraph" w:styleId="741" w:customStyle="1">
    <w:name w:val="Heading 8"/>
    <w:basedOn w:val="688"/>
    <w:next w:val="688"/>
    <w:link w:val="742"/>
    <w:uiPriority w:val="9"/>
    <w:unhideWhenUsed/>
    <w:qFormat/>
    <w:pPr>
      <w:keepLines/>
      <w:keepNext/>
      <w:spacing w:before="320" w:after="200"/>
      <w:outlineLvl w:val="7"/>
    </w:pPr>
    <w:rPr>
      <w:rFonts w:ascii="Arial" w:hAnsi="Arial" w:eastAsia="Arial" w:cs="Arial"/>
      <w:i/>
      <w:iCs/>
      <w:sz w:val="22"/>
    </w:rPr>
  </w:style>
  <w:style w:type="character" w:styleId="742" w:customStyle="1">
    <w:name w:val="Heading 8 Char"/>
    <w:link w:val="741"/>
    <w:uiPriority w:val="9"/>
    <w:rPr>
      <w:rFonts w:ascii="Arial" w:hAnsi="Arial" w:eastAsia="Arial" w:cs="Arial"/>
      <w:i/>
      <w:iCs/>
      <w:sz w:val="22"/>
      <w:szCs w:val="22"/>
    </w:rPr>
  </w:style>
  <w:style w:type="paragraph" w:styleId="743" w:customStyle="1">
    <w:name w:val="Heading 9"/>
    <w:basedOn w:val="688"/>
    <w:next w:val="688"/>
    <w:link w:val="744"/>
    <w:uiPriority w:val="9"/>
    <w:unhideWhenUsed/>
    <w:qFormat/>
    <w:pPr>
      <w:keepLines/>
      <w:keepNext/>
      <w:spacing w:before="320" w:after="200"/>
      <w:outlineLvl w:val="8"/>
    </w:pPr>
    <w:rPr>
      <w:rFonts w:ascii="Arial" w:hAnsi="Arial" w:eastAsia="Arial" w:cs="Arial"/>
      <w:i/>
      <w:iCs/>
      <w:szCs w:val="21"/>
    </w:rPr>
  </w:style>
  <w:style w:type="character" w:styleId="744" w:customStyle="1">
    <w:name w:val="Heading 9 Char"/>
    <w:link w:val="743"/>
    <w:uiPriority w:val="9"/>
    <w:qFormat/>
    <w:rPr>
      <w:rFonts w:ascii="Arial" w:hAnsi="Arial" w:eastAsia="Arial" w:cs="Arial"/>
      <w:i/>
      <w:iCs/>
      <w:sz w:val="21"/>
      <w:szCs w:val="21"/>
    </w:rPr>
  </w:style>
  <w:style w:type="paragraph" w:styleId="745">
    <w:name w:val="List Paragraph"/>
    <w:basedOn w:val="688"/>
    <w:uiPriority w:val="34"/>
    <w:qFormat/>
    <w:pPr>
      <w:contextualSpacing/>
      <w:ind w:left="720"/>
    </w:pPr>
  </w:style>
  <w:style w:type="paragraph" w:styleId="74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47" w:customStyle="1">
    <w:name w:val="Title Char"/>
    <w:link w:val="719"/>
    <w:uiPriority w:val="10"/>
    <w:qFormat/>
    <w:rPr>
      <w:sz w:val="48"/>
      <w:szCs w:val="48"/>
    </w:rPr>
  </w:style>
  <w:style w:type="character" w:styleId="748" w:customStyle="1">
    <w:name w:val="Subtitle Char"/>
    <w:link w:val="712"/>
    <w:uiPriority w:val="11"/>
    <w:qFormat/>
    <w:rPr>
      <w:sz w:val="24"/>
      <w:szCs w:val="24"/>
    </w:rPr>
  </w:style>
  <w:style w:type="paragraph" w:styleId="749">
    <w:name w:val="Quote"/>
    <w:basedOn w:val="688"/>
    <w:next w:val="688"/>
    <w:link w:val="779"/>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8"/>
    <w:next w:val="688"/>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paragraph" w:styleId="753" w:customStyle="1">
    <w:name w:val="Header"/>
    <w:basedOn w:val="688"/>
    <w:link w:val="754"/>
    <w:uiPriority w:val="99"/>
    <w:unhideWhenUsed/>
    <w:qFormat/>
    <w:pPr>
      <w:tabs>
        <w:tab w:val="center" w:pos="7143" w:leader="none"/>
        <w:tab w:val="right" w:pos="14287" w:leader="none"/>
      </w:tabs>
    </w:pPr>
  </w:style>
  <w:style w:type="character" w:styleId="754" w:customStyle="1">
    <w:name w:val="Header Char"/>
    <w:link w:val="753"/>
    <w:uiPriority w:val="99"/>
    <w:qFormat/>
  </w:style>
  <w:style w:type="paragraph" w:styleId="755" w:customStyle="1">
    <w:name w:val="Footer"/>
    <w:basedOn w:val="688"/>
    <w:link w:val="775"/>
    <w:uiPriority w:val="99"/>
    <w:unhideWhenUsed/>
    <w:qFormat/>
    <w:pPr>
      <w:tabs>
        <w:tab w:val="center" w:pos="7143" w:leader="none"/>
        <w:tab w:val="right" w:pos="14287" w:leader="none"/>
      </w:tabs>
    </w:pPr>
  </w:style>
  <w:style w:type="character" w:styleId="756" w:customStyle="1">
    <w:name w:val="Footer Char"/>
    <w:link w:val="755"/>
    <w:uiPriority w:val="99"/>
  </w:style>
  <w:style w:type="paragraph" w:styleId="757" w:customStyle="1">
    <w:name w:val="Caption"/>
    <w:basedOn w:val="688"/>
    <w:next w:val="688"/>
    <w:uiPriority w:val="35"/>
    <w:semiHidden/>
    <w:unhideWhenUsed/>
    <w:qFormat/>
    <w:pPr>
      <w:spacing w:line="276" w:lineRule="auto"/>
    </w:pPr>
    <w:rPr>
      <w:b/>
      <w:bCs/>
      <w:color w:val="4f81bd" w:themeColor="accent1"/>
      <w:sz w:val="18"/>
      <w:szCs w:val="18"/>
    </w:rPr>
  </w:style>
  <w:style w:type="character" w:styleId="758" w:customStyle="1">
    <w:name w:val="Footnote Text Char"/>
    <w:link w:val="713"/>
    <w:uiPriority w:val="99"/>
    <w:qFormat/>
    <w:rPr>
      <w:sz w:val="18"/>
    </w:rPr>
  </w:style>
  <w:style w:type="character" w:styleId="759" w:customStyle="1">
    <w:name w:val="Endnote Text Char"/>
    <w:link w:val="706"/>
    <w:uiPriority w:val="99"/>
    <w:qFormat/>
    <w:rPr>
      <w:sz w:val="20"/>
    </w:rPr>
  </w:style>
  <w:style w:type="character" w:styleId="760" w:customStyle="1">
    <w:name w:val="标题 1 Char"/>
    <w:link w:val="689"/>
    <w:uiPriority w:val="9"/>
    <w:qFormat/>
    <w:rPr>
      <w:rFonts w:ascii="Arial" w:hAnsi="Arial" w:eastAsia="Arial" w:cs="Arial"/>
      <w:sz w:val="40"/>
      <w:szCs w:val="40"/>
    </w:rPr>
  </w:style>
  <w:style w:type="character" w:styleId="761" w:customStyle="1">
    <w:name w:val="标题 2 Char"/>
    <w:link w:val="690"/>
    <w:uiPriority w:val="9"/>
    <w:qFormat/>
    <w:rPr>
      <w:rFonts w:ascii="Arial" w:hAnsi="Arial" w:eastAsia="Arial" w:cs="Arial"/>
      <w:sz w:val="34"/>
    </w:rPr>
  </w:style>
  <w:style w:type="character" w:styleId="762" w:customStyle="1">
    <w:name w:val="标题 3 Char"/>
    <w:link w:val="691"/>
    <w:uiPriority w:val="9"/>
    <w:rPr>
      <w:rFonts w:ascii="Arial" w:hAnsi="Arial" w:eastAsia="Arial" w:cs="Arial"/>
      <w:sz w:val="30"/>
      <w:szCs w:val="30"/>
    </w:rPr>
  </w:style>
  <w:style w:type="character" w:styleId="763" w:customStyle="1">
    <w:name w:val="标题 4 Char"/>
    <w:link w:val="692"/>
    <w:uiPriority w:val="9"/>
    <w:qFormat/>
    <w:rPr>
      <w:rFonts w:ascii="Arial" w:hAnsi="Arial" w:eastAsia="Arial" w:cs="Arial"/>
      <w:b/>
      <w:bCs/>
      <w:sz w:val="26"/>
      <w:szCs w:val="26"/>
    </w:rPr>
  </w:style>
  <w:style w:type="character" w:styleId="764" w:customStyle="1">
    <w:name w:val="标题 5 Char"/>
    <w:link w:val="693"/>
    <w:uiPriority w:val="9"/>
    <w:rPr>
      <w:rFonts w:ascii="Arial" w:hAnsi="Arial" w:eastAsia="Arial" w:cs="Arial"/>
      <w:b/>
      <w:bCs/>
      <w:sz w:val="24"/>
      <w:szCs w:val="24"/>
    </w:rPr>
  </w:style>
  <w:style w:type="character" w:styleId="765" w:customStyle="1">
    <w:name w:val="标题 6 Char"/>
    <w:link w:val="694"/>
    <w:uiPriority w:val="9"/>
    <w:qFormat/>
    <w:rPr>
      <w:rFonts w:ascii="Arial" w:hAnsi="Arial" w:eastAsia="Arial" w:cs="Arial"/>
      <w:b/>
      <w:bCs/>
      <w:sz w:val="22"/>
      <w:szCs w:val="22"/>
    </w:rPr>
  </w:style>
  <w:style w:type="character" w:styleId="766" w:customStyle="1">
    <w:name w:val="标题 7 Char"/>
    <w:link w:val="695"/>
    <w:uiPriority w:val="9"/>
    <w:qFormat/>
    <w:rPr>
      <w:rFonts w:ascii="Arial" w:hAnsi="Arial" w:eastAsia="Arial" w:cs="Arial"/>
      <w:b/>
      <w:bCs/>
      <w:i/>
      <w:iCs/>
      <w:sz w:val="22"/>
      <w:szCs w:val="22"/>
    </w:rPr>
  </w:style>
  <w:style w:type="character" w:styleId="767" w:customStyle="1">
    <w:name w:val="标题 8 Char"/>
    <w:link w:val="696"/>
    <w:uiPriority w:val="9"/>
    <w:qFormat/>
    <w:rPr>
      <w:rFonts w:ascii="Arial" w:hAnsi="Arial" w:eastAsia="Arial" w:cs="Arial"/>
      <w:i/>
      <w:iCs/>
      <w:sz w:val="22"/>
      <w:szCs w:val="22"/>
    </w:rPr>
  </w:style>
  <w:style w:type="character" w:styleId="768" w:customStyle="1">
    <w:name w:val="标题 9 Char"/>
    <w:link w:val="697"/>
    <w:uiPriority w:val="9"/>
    <w:qFormat/>
    <w:rPr>
      <w:rFonts w:ascii="Arial" w:hAnsi="Arial" w:eastAsia="Arial" w:cs="Arial"/>
      <w:i/>
      <w:iCs/>
      <w:sz w:val="21"/>
      <w:szCs w:val="21"/>
    </w:rPr>
  </w:style>
  <w:style w:type="character" w:styleId="769" w:customStyle="1">
    <w:name w:val="尾注文本 Char"/>
    <w:link w:val="706"/>
    <w:uiPriority w:val="99"/>
    <w:rPr>
      <w:sz w:val="20"/>
    </w:rPr>
  </w:style>
  <w:style w:type="character" w:styleId="770" w:customStyle="1">
    <w:name w:val="页脚 Char"/>
    <w:link w:val="708"/>
    <w:uiPriority w:val="99"/>
    <w:qFormat/>
  </w:style>
  <w:style w:type="character" w:styleId="771" w:customStyle="1">
    <w:name w:val="页眉 Char"/>
    <w:link w:val="709"/>
    <w:uiPriority w:val="99"/>
    <w:qFormat/>
  </w:style>
  <w:style w:type="character" w:styleId="772" w:customStyle="1">
    <w:name w:val="副标题 Char"/>
    <w:link w:val="712"/>
    <w:uiPriority w:val="11"/>
    <w:qFormat/>
    <w:rPr>
      <w:sz w:val="24"/>
      <w:szCs w:val="24"/>
    </w:rPr>
  </w:style>
  <w:style w:type="character" w:styleId="773" w:customStyle="1">
    <w:name w:val="脚注文本 Char"/>
    <w:link w:val="713"/>
    <w:uiPriority w:val="99"/>
    <w:qFormat/>
    <w:rPr>
      <w:sz w:val="18"/>
    </w:rPr>
  </w:style>
  <w:style w:type="character" w:styleId="774" w:customStyle="1">
    <w:name w:val="标题 Char"/>
    <w:link w:val="719"/>
    <w:uiPriority w:val="10"/>
    <w:qFormat/>
    <w:rPr>
      <w:sz w:val="48"/>
      <w:szCs w:val="48"/>
    </w:rPr>
  </w:style>
  <w:style w:type="character" w:styleId="775" w:customStyle="1">
    <w:name w:val="Caption Char"/>
    <w:link w:val="755"/>
    <w:uiPriority w:val="99"/>
    <w:qFormat/>
  </w:style>
  <w:style w:type="paragraph" w:styleId="776" w:customStyle="1">
    <w:name w:val="正文文本1"/>
    <w:basedOn w:val="688"/>
    <w:link w:val="777"/>
    <w:uiPriority w:val="0"/>
    <w:qFormat/>
    <w:rPr>
      <w:rFonts w:ascii="楷体_GB2312" w:hAnsi="Arial" w:eastAsia="楷体_GB2312"/>
      <w:sz w:val="28"/>
      <w:szCs w:val="28"/>
    </w:rPr>
  </w:style>
  <w:style w:type="character" w:styleId="777" w:customStyle="1">
    <w:name w:val="正文文本 字符"/>
    <w:link w:val="776"/>
    <w:uiPriority w:val="0"/>
    <w:qFormat/>
    <w:rPr>
      <w:rFonts w:ascii="楷体_GB2312" w:hAnsi="Arial" w:eastAsia="楷体_GB2312" w:cs="Times New Roman"/>
      <w:sz w:val="28"/>
      <w:szCs w:val="28"/>
    </w:rPr>
  </w:style>
  <w:style w:type="character" w:styleId="778" w:customStyle="1">
    <w:name w:val="active15"/>
    <w:uiPriority w:val="0"/>
    <w:qFormat/>
    <w:rPr>
      <w:color w:val="ffffff"/>
      <w:shd w:val="clear" w:color="auto" w:fill="0f5bb9"/>
    </w:rPr>
  </w:style>
  <w:style w:type="character" w:styleId="779" w:customStyle="1">
    <w:name w:val="引用 Char"/>
    <w:link w:val="749"/>
    <w:uiPriority w:val="29"/>
    <w:qFormat/>
    <w:rPr>
      <w:i/>
    </w:rPr>
  </w:style>
  <w:style w:type="character" w:styleId="780" w:customStyle="1">
    <w:name w:val="明显引用 Char"/>
    <w:link w:val="751"/>
    <w:uiPriority w:val="30"/>
    <w:qFormat/>
    <w:rPr>
      <w:i/>
    </w:rPr>
  </w:style>
  <w:style w:type="table" w:styleId="781" w:customStyle="1">
    <w:name w:val="Table Grid Light"/>
    <w:uiPriority w:val="59"/>
    <w:qFormat/>
    <w:tblPr>
      <w:tblCellMar>
        <w:left w:w="0" w:type="dxa"/>
        <w:top w:w="0" w:type="dxa"/>
        <w:right w:w="0" w:type="dxa"/>
        <w:bottom w:w="0" w:type="dxa"/>
      </w:tblCellMar>
    </w:tblPr>
  </w:style>
  <w:style w:type="table" w:styleId="782" w:customStyle="1">
    <w:name w:val="Plain Table 1"/>
    <w:uiPriority w:val="59"/>
    <w:qFormat/>
    <w:tblPr>
      <w:tblCellMar>
        <w:left w:w="0" w:type="dxa"/>
        <w:top w:w="0" w:type="dxa"/>
        <w:right w:w="0" w:type="dxa"/>
        <w:bottom w:w="0" w:type="dxa"/>
      </w:tblCellMar>
    </w:tblPr>
  </w:style>
  <w:style w:type="table" w:styleId="783" w:customStyle="1">
    <w:name w:val="Plain Table 2"/>
    <w:uiPriority w:val="59"/>
    <w:qFormat/>
    <w:tblPr>
      <w:tblCellMar>
        <w:left w:w="0" w:type="dxa"/>
        <w:top w:w="0" w:type="dxa"/>
        <w:right w:w="0" w:type="dxa"/>
        <w:bottom w:w="0" w:type="dxa"/>
      </w:tblCellMar>
    </w:tblPr>
  </w:style>
  <w:style w:type="table" w:styleId="784" w:customStyle="1">
    <w:name w:val="Plain Table 3"/>
    <w:uiPriority w:val="99"/>
    <w:qFormat/>
    <w:tblPr>
      <w:tblCellMar>
        <w:left w:w="0" w:type="dxa"/>
        <w:top w:w="0" w:type="dxa"/>
        <w:right w:w="0" w:type="dxa"/>
        <w:bottom w:w="0" w:type="dxa"/>
      </w:tblCellMar>
    </w:tblPr>
  </w:style>
  <w:style w:type="table" w:styleId="785" w:customStyle="1">
    <w:name w:val="Plain Table 4"/>
    <w:uiPriority w:val="99"/>
    <w:qFormat/>
    <w:tblPr>
      <w:tblCellMar>
        <w:left w:w="0" w:type="dxa"/>
        <w:top w:w="0" w:type="dxa"/>
        <w:right w:w="0" w:type="dxa"/>
        <w:bottom w:w="0" w:type="dxa"/>
      </w:tblCellMar>
    </w:tblPr>
  </w:style>
  <w:style w:type="table" w:styleId="786" w:customStyle="1">
    <w:name w:val="Plain Table 5"/>
    <w:uiPriority w:val="99"/>
    <w:qFormat/>
    <w:tblPr>
      <w:tblCellMar>
        <w:left w:w="0" w:type="dxa"/>
        <w:top w:w="0" w:type="dxa"/>
        <w:right w:w="0" w:type="dxa"/>
        <w:bottom w:w="0" w:type="dxa"/>
      </w:tblCellMar>
    </w:tblPr>
  </w:style>
  <w:style w:type="table" w:styleId="787" w:customStyle="1">
    <w:name w:val="Grid Table 1 Light"/>
    <w:uiPriority w:val="99"/>
    <w:qFormat/>
    <w:tblPr>
      <w:tblCellMar>
        <w:left w:w="0" w:type="dxa"/>
        <w:top w:w="0" w:type="dxa"/>
        <w:right w:w="0" w:type="dxa"/>
        <w:bottom w:w="0" w:type="dxa"/>
      </w:tblCellMar>
    </w:tblPr>
  </w:style>
  <w:style w:type="table" w:styleId="788" w:customStyle="1">
    <w:name w:val="Grid Table 1 Light - Accent 1"/>
    <w:uiPriority w:val="99"/>
    <w:tblPr>
      <w:tblCellMar>
        <w:left w:w="0" w:type="dxa"/>
        <w:top w:w="0" w:type="dxa"/>
        <w:right w:w="0" w:type="dxa"/>
        <w:bottom w:w="0" w:type="dxa"/>
      </w:tblCellMar>
    </w:tblPr>
  </w:style>
  <w:style w:type="table" w:styleId="789" w:customStyle="1">
    <w:name w:val="Grid Table 1 Light - Accent 2"/>
    <w:uiPriority w:val="99"/>
    <w:qFormat/>
    <w:tblPr>
      <w:tblCellMar>
        <w:left w:w="0" w:type="dxa"/>
        <w:top w:w="0" w:type="dxa"/>
        <w:right w:w="0" w:type="dxa"/>
        <w:bottom w:w="0" w:type="dxa"/>
      </w:tblCellMar>
    </w:tblPr>
  </w:style>
  <w:style w:type="table" w:styleId="790" w:customStyle="1">
    <w:name w:val="Grid Table 1 Light - Accent 3"/>
    <w:uiPriority w:val="99"/>
    <w:qFormat/>
    <w:tblPr>
      <w:tblCellMar>
        <w:left w:w="0" w:type="dxa"/>
        <w:top w:w="0" w:type="dxa"/>
        <w:right w:w="0" w:type="dxa"/>
        <w:bottom w:w="0" w:type="dxa"/>
      </w:tblCellMar>
    </w:tblPr>
  </w:style>
  <w:style w:type="table" w:styleId="791" w:customStyle="1">
    <w:name w:val="Grid Table 1 Light - Accent 4"/>
    <w:uiPriority w:val="99"/>
    <w:qFormat/>
    <w:tblPr>
      <w:tblCellMar>
        <w:left w:w="0" w:type="dxa"/>
        <w:top w:w="0" w:type="dxa"/>
        <w:right w:w="0" w:type="dxa"/>
        <w:bottom w:w="0" w:type="dxa"/>
      </w:tblCellMar>
    </w:tblPr>
  </w:style>
  <w:style w:type="table" w:styleId="792" w:customStyle="1">
    <w:name w:val="Grid Table 1 Light - Accent 5"/>
    <w:uiPriority w:val="99"/>
    <w:qFormat/>
    <w:tblPr>
      <w:tblCellMar>
        <w:left w:w="0" w:type="dxa"/>
        <w:top w:w="0" w:type="dxa"/>
        <w:right w:w="0" w:type="dxa"/>
        <w:bottom w:w="0" w:type="dxa"/>
      </w:tblCellMar>
    </w:tblPr>
  </w:style>
  <w:style w:type="table" w:styleId="793" w:customStyle="1">
    <w:name w:val="Grid Table 1 Light - Accent 6"/>
    <w:uiPriority w:val="99"/>
    <w:qFormat/>
    <w:tblPr>
      <w:tblCellMar>
        <w:left w:w="0" w:type="dxa"/>
        <w:top w:w="0" w:type="dxa"/>
        <w:right w:w="0" w:type="dxa"/>
        <w:bottom w:w="0" w:type="dxa"/>
      </w:tblCellMar>
    </w:tblPr>
  </w:style>
  <w:style w:type="table" w:styleId="794" w:customStyle="1">
    <w:name w:val="Grid Table 2"/>
    <w:uiPriority w:val="99"/>
    <w:qFormat/>
    <w:tblPr>
      <w:tblCellMar>
        <w:left w:w="0" w:type="dxa"/>
        <w:top w:w="0" w:type="dxa"/>
        <w:right w:w="0" w:type="dxa"/>
        <w:bottom w:w="0" w:type="dxa"/>
      </w:tblCellMar>
    </w:tblPr>
  </w:style>
  <w:style w:type="table" w:styleId="795" w:customStyle="1">
    <w:name w:val="Grid Table 2 - Accent 1"/>
    <w:uiPriority w:val="99"/>
    <w:qFormat/>
    <w:tblPr>
      <w:tblCellMar>
        <w:left w:w="0" w:type="dxa"/>
        <w:top w:w="0" w:type="dxa"/>
        <w:right w:w="0" w:type="dxa"/>
        <w:bottom w:w="0" w:type="dxa"/>
      </w:tblCellMar>
    </w:tblPr>
  </w:style>
  <w:style w:type="table" w:styleId="796" w:customStyle="1">
    <w:name w:val="Grid Table 2 - Accent 2"/>
    <w:uiPriority w:val="99"/>
    <w:qFormat/>
    <w:tblPr>
      <w:tblCellMar>
        <w:left w:w="0" w:type="dxa"/>
        <w:top w:w="0" w:type="dxa"/>
        <w:right w:w="0" w:type="dxa"/>
        <w:bottom w:w="0" w:type="dxa"/>
      </w:tblCellMar>
    </w:tblPr>
  </w:style>
  <w:style w:type="table" w:styleId="797" w:customStyle="1">
    <w:name w:val="Grid Table 2 - Accent 3"/>
    <w:uiPriority w:val="99"/>
    <w:qFormat/>
    <w:tblPr>
      <w:tblCellMar>
        <w:left w:w="0" w:type="dxa"/>
        <w:top w:w="0" w:type="dxa"/>
        <w:right w:w="0" w:type="dxa"/>
        <w:bottom w:w="0" w:type="dxa"/>
      </w:tblCellMar>
    </w:tblPr>
  </w:style>
  <w:style w:type="table" w:styleId="798" w:customStyle="1">
    <w:name w:val="Grid Table 2 - Accent 4"/>
    <w:uiPriority w:val="99"/>
    <w:qFormat/>
    <w:tblPr>
      <w:tblCellMar>
        <w:left w:w="0" w:type="dxa"/>
        <w:top w:w="0" w:type="dxa"/>
        <w:right w:w="0" w:type="dxa"/>
        <w:bottom w:w="0" w:type="dxa"/>
      </w:tblCellMar>
    </w:tblPr>
  </w:style>
  <w:style w:type="table" w:styleId="799" w:customStyle="1">
    <w:name w:val="Grid Table 2 - Accent 5"/>
    <w:uiPriority w:val="99"/>
    <w:tblPr>
      <w:tblCellMar>
        <w:left w:w="0" w:type="dxa"/>
        <w:top w:w="0" w:type="dxa"/>
        <w:right w:w="0" w:type="dxa"/>
        <w:bottom w:w="0" w:type="dxa"/>
      </w:tblCellMar>
    </w:tblPr>
  </w:style>
  <w:style w:type="table" w:styleId="800" w:customStyle="1">
    <w:name w:val="Grid Table 2 - Accent 6"/>
    <w:uiPriority w:val="99"/>
    <w:tblPr>
      <w:tblCellMar>
        <w:left w:w="0" w:type="dxa"/>
        <w:top w:w="0" w:type="dxa"/>
        <w:right w:w="0" w:type="dxa"/>
        <w:bottom w:w="0" w:type="dxa"/>
      </w:tblCellMar>
    </w:tblPr>
  </w:style>
  <w:style w:type="table" w:styleId="801" w:customStyle="1">
    <w:name w:val="Grid Table 3"/>
    <w:uiPriority w:val="99"/>
    <w:qFormat/>
    <w:tblPr>
      <w:tblCellMar>
        <w:left w:w="0" w:type="dxa"/>
        <w:top w:w="0" w:type="dxa"/>
        <w:right w:w="0" w:type="dxa"/>
        <w:bottom w:w="0" w:type="dxa"/>
      </w:tblCellMar>
    </w:tblPr>
  </w:style>
  <w:style w:type="table" w:styleId="802" w:customStyle="1">
    <w:name w:val="Grid Table 3 - Accent 1"/>
    <w:uiPriority w:val="99"/>
    <w:qFormat/>
    <w:tblPr>
      <w:tblCellMar>
        <w:left w:w="0" w:type="dxa"/>
        <w:top w:w="0" w:type="dxa"/>
        <w:right w:w="0" w:type="dxa"/>
        <w:bottom w:w="0" w:type="dxa"/>
      </w:tblCellMar>
    </w:tblPr>
  </w:style>
  <w:style w:type="table" w:styleId="803" w:customStyle="1">
    <w:name w:val="Grid Table 3 - Accent 2"/>
    <w:uiPriority w:val="99"/>
    <w:qFormat/>
    <w:tblPr>
      <w:tblCellMar>
        <w:left w:w="0" w:type="dxa"/>
        <w:top w:w="0" w:type="dxa"/>
        <w:right w:w="0" w:type="dxa"/>
        <w:bottom w:w="0" w:type="dxa"/>
      </w:tblCellMar>
    </w:tblPr>
  </w:style>
  <w:style w:type="table" w:styleId="804" w:customStyle="1">
    <w:name w:val="Grid Table 3 - Accent 3"/>
    <w:uiPriority w:val="99"/>
    <w:tblPr>
      <w:tblCellMar>
        <w:left w:w="0" w:type="dxa"/>
        <w:top w:w="0" w:type="dxa"/>
        <w:right w:w="0" w:type="dxa"/>
        <w:bottom w:w="0" w:type="dxa"/>
      </w:tblCellMar>
    </w:tblPr>
  </w:style>
  <w:style w:type="table" w:styleId="805" w:customStyle="1">
    <w:name w:val="Grid Table 3 - Accent 4"/>
    <w:uiPriority w:val="99"/>
    <w:qFormat/>
    <w:tblPr>
      <w:tblCellMar>
        <w:left w:w="0" w:type="dxa"/>
        <w:top w:w="0" w:type="dxa"/>
        <w:right w:w="0" w:type="dxa"/>
        <w:bottom w:w="0" w:type="dxa"/>
      </w:tblCellMar>
    </w:tblPr>
  </w:style>
  <w:style w:type="table" w:styleId="806" w:customStyle="1">
    <w:name w:val="Grid Table 3 - Accent 5"/>
    <w:uiPriority w:val="99"/>
    <w:qFormat/>
    <w:tblPr>
      <w:tblCellMar>
        <w:left w:w="0" w:type="dxa"/>
        <w:top w:w="0" w:type="dxa"/>
        <w:right w:w="0" w:type="dxa"/>
        <w:bottom w:w="0" w:type="dxa"/>
      </w:tblCellMar>
    </w:tblPr>
  </w:style>
  <w:style w:type="table" w:styleId="807" w:customStyle="1">
    <w:name w:val="Grid Table 3 - Accent 6"/>
    <w:uiPriority w:val="99"/>
    <w:qFormat/>
    <w:tblPr>
      <w:tblCellMar>
        <w:left w:w="0" w:type="dxa"/>
        <w:top w:w="0" w:type="dxa"/>
        <w:right w:w="0" w:type="dxa"/>
        <w:bottom w:w="0" w:type="dxa"/>
      </w:tblCellMar>
    </w:tblPr>
  </w:style>
  <w:style w:type="table" w:styleId="808" w:customStyle="1">
    <w:name w:val="Grid Table 4"/>
    <w:uiPriority w:val="59"/>
    <w:qFormat/>
    <w:tblPr>
      <w:tblCellMar>
        <w:left w:w="0" w:type="dxa"/>
        <w:top w:w="0" w:type="dxa"/>
        <w:right w:w="0" w:type="dxa"/>
        <w:bottom w:w="0" w:type="dxa"/>
      </w:tblCellMar>
    </w:tblPr>
  </w:style>
  <w:style w:type="table" w:styleId="809" w:customStyle="1">
    <w:name w:val="Grid Table 4 - Accent 1"/>
    <w:uiPriority w:val="59"/>
    <w:qFormat/>
    <w:tblPr>
      <w:tblCellMar>
        <w:left w:w="0" w:type="dxa"/>
        <w:top w:w="0" w:type="dxa"/>
        <w:right w:w="0" w:type="dxa"/>
        <w:bottom w:w="0" w:type="dxa"/>
      </w:tblCellMar>
    </w:tblPr>
  </w:style>
  <w:style w:type="table" w:styleId="810" w:customStyle="1">
    <w:name w:val="Grid Table 4 - Accent 2"/>
    <w:uiPriority w:val="59"/>
    <w:qFormat/>
    <w:tblPr>
      <w:tblCellMar>
        <w:left w:w="0" w:type="dxa"/>
        <w:top w:w="0" w:type="dxa"/>
        <w:right w:w="0" w:type="dxa"/>
        <w:bottom w:w="0" w:type="dxa"/>
      </w:tblCellMar>
    </w:tblPr>
  </w:style>
  <w:style w:type="table" w:styleId="811" w:customStyle="1">
    <w:name w:val="Grid Table 4 - Accent 3"/>
    <w:uiPriority w:val="59"/>
    <w:qFormat/>
    <w:tblPr>
      <w:tblCellMar>
        <w:left w:w="0" w:type="dxa"/>
        <w:top w:w="0" w:type="dxa"/>
        <w:right w:w="0" w:type="dxa"/>
        <w:bottom w:w="0" w:type="dxa"/>
      </w:tblCellMar>
    </w:tblPr>
  </w:style>
  <w:style w:type="table" w:styleId="812" w:customStyle="1">
    <w:name w:val="Grid Table 4 - Accent 4"/>
    <w:uiPriority w:val="59"/>
    <w:qFormat/>
    <w:tblPr>
      <w:tblCellMar>
        <w:left w:w="0" w:type="dxa"/>
        <w:top w:w="0" w:type="dxa"/>
        <w:right w:w="0" w:type="dxa"/>
        <w:bottom w:w="0" w:type="dxa"/>
      </w:tblCellMar>
    </w:tblPr>
  </w:style>
  <w:style w:type="table" w:styleId="813" w:customStyle="1">
    <w:name w:val="Grid Table 4 - Accent 5"/>
    <w:uiPriority w:val="59"/>
    <w:qFormat/>
    <w:tblPr>
      <w:tblCellMar>
        <w:left w:w="0" w:type="dxa"/>
        <w:top w:w="0" w:type="dxa"/>
        <w:right w:w="0" w:type="dxa"/>
        <w:bottom w:w="0" w:type="dxa"/>
      </w:tblCellMar>
    </w:tblPr>
  </w:style>
  <w:style w:type="table" w:styleId="814" w:customStyle="1">
    <w:name w:val="Grid Table 4 - Accent 6"/>
    <w:uiPriority w:val="59"/>
    <w:qFormat/>
    <w:tblPr>
      <w:tblCellMar>
        <w:left w:w="0" w:type="dxa"/>
        <w:top w:w="0" w:type="dxa"/>
        <w:right w:w="0" w:type="dxa"/>
        <w:bottom w:w="0" w:type="dxa"/>
      </w:tblCellMar>
    </w:tblPr>
  </w:style>
  <w:style w:type="table" w:styleId="815" w:customStyle="1">
    <w:name w:val="Grid Table 5 Dark"/>
    <w:uiPriority w:val="99"/>
    <w:qFormat/>
    <w:tblPr>
      <w:tblCellMar>
        <w:left w:w="0" w:type="dxa"/>
        <w:top w:w="0" w:type="dxa"/>
        <w:right w:w="0" w:type="dxa"/>
        <w:bottom w:w="0" w:type="dxa"/>
      </w:tblCellMar>
    </w:tblPr>
  </w:style>
  <w:style w:type="table" w:styleId="816" w:customStyle="1">
    <w:name w:val="Grid Table 5 Dark- Accent 1"/>
    <w:uiPriority w:val="99"/>
    <w:qFormat/>
    <w:tblPr>
      <w:tblCellMar>
        <w:left w:w="0" w:type="dxa"/>
        <w:top w:w="0" w:type="dxa"/>
        <w:right w:w="0" w:type="dxa"/>
        <w:bottom w:w="0" w:type="dxa"/>
      </w:tblCellMar>
    </w:tblPr>
  </w:style>
  <w:style w:type="table" w:styleId="817" w:customStyle="1">
    <w:name w:val="Grid Table 5 Dark - Accent 2"/>
    <w:uiPriority w:val="99"/>
    <w:qFormat/>
    <w:tblPr>
      <w:tblCellMar>
        <w:left w:w="0" w:type="dxa"/>
        <w:top w:w="0" w:type="dxa"/>
        <w:right w:w="0" w:type="dxa"/>
        <w:bottom w:w="0" w:type="dxa"/>
      </w:tblCellMar>
    </w:tblPr>
  </w:style>
  <w:style w:type="table" w:styleId="818" w:customStyle="1">
    <w:name w:val="Grid Table 5 Dark - Accent 3"/>
    <w:uiPriority w:val="99"/>
    <w:qFormat/>
    <w:tblPr>
      <w:tblCellMar>
        <w:left w:w="0" w:type="dxa"/>
        <w:top w:w="0" w:type="dxa"/>
        <w:right w:w="0" w:type="dxa"/>
        <w:bottom w:w="0" w:type="dxa"/>
      </w:tblCellMar>
    </w:tblPr>
  </w:style>
  <w:style w:type="table" w:styleId="819" w:customStyle="1">
    <w:name w:val="Grid Table 5 Dark- Accent 4"/>
    <w:uiPriority w:val="99"/>
    <w:qFormat/>
    <w:tblPr>
      <w:tblCellMar>
        <w:left w:w="0" w:type="dxa"/>
        <w:top w:w="0" w:type="dxa"/>
        <w:right w:w="0" w:type="dxa"/>
        <w:bottom w:w="0" w:type="dxa"/>
      </w:tblCellMar>
    </w:tblPr>
  </w:style>
  <w:style w:type="table" w:styleId="820" w:customStyle="1">
    <w:name w:val="Grid Table 5 Dark - Accent 5"/>
    <w:uiPriority w:val="99"/>
    <w:qFormat/>
    <w:tblPr>
      <w:tblCellMar>
        <w:left w:w="0" w:type="dxa"/>
        <w:top w:w="0" w:type="dxa"/>
        <w:right w:w="0" w:type="dxa"/>
        <w:bottom w:w="0" w:type="dxa"/>
      </w:tblCellMar>
    </w:tblPr>
  </w:style>
  <w:style w:type="table" w:styleId="821" w:customStyle="1">
    <w:name w:val="Grid Table 5 Dark - Accent 6"/>
    <w:uiPriority w:val="99"/>
    <w:qFormat/>
    <w:tblPr>
      <w:tblCellMar>
        <w:left w:w="0" w:type="dxa"/>
        <w:top w:w="0" w:type="dxa"/>
        <w:right w:w="0" w:type="dxa"/>
        <w:bottom w:w="0" w:type="dxa"/>
      </w:tblCellMar>
    </w:tblPr>
  </w:style>
  <w:style w:type="table" w:styleId="822" w:customStyle="1">
    <w:name w:val="Grid Table 6 Colorful"/>
    <w:uiPriority w:val="99"/>
    <w:qFormat/>
    <w:tblPr>
      <w:tblCellMar>
        <w:left w:w="0" w:type="dxa"/>
        <w:top w:w="0" w:type="dxa"/>
        <w:right w:w="0" w:type="dxa"/>
        <w:bottom w:w="0" w:type="dxa"/>
      </w:tblCellMar>
    </w:tblPr>
  </w:style>
  <w:style w:type="table" w:styleId="823" w:customStyle="1">
    <w:name w:val="Grid Table 6 Colorful - Accent 1"/>
    <w:uiPriority w:val="99"/>
    <w:qFormat/>
    <w:tblPr>
      <w:tblCellMar>
        <w:left w:w="0" w:type="dxa"/>
        <w:top w:w="0" w:type="dxa"/>
        <w:right w:w="0" w:type="dxa"/>
        <w:bottom w:w="0" w:type="dxa"/>
      </w:tblCellMar>
    </w:tblPr>
  </w:style>
  <w:style w:type="table" w:styleId="824" w:customStyle="1">
    <w:name w:val="Grid Table 6 Colorful - Accent 2"/>
    <w:uiPriority w:val="99"/>
    <w:qFormat/>
    <w:tblPr>
      <w:tblCellMar>
        <w:left w:w="0" w:type="dxa"/>
        <w:top w:w="0" w:type="dxa"/>
        <w:right w:w="0" w:type="dxa"/>
        <w:bottom w:w="0" w:type="dxa"/>
      </w:tblCellMar>
    </w:tblPr>
  </w:style>
  <w:style w:type="table" w:styleId="825" w:customStyle="1">
    <w:name w:val="Grid Table 6 Colorful - Accent 3"/>
    <w:uiPriority w:val="99"/>
    <w:qFormat/>
    <w:tblPr>
      <w:tblCellMar>
        <w:left w:w="0" w:type="dxa"/>
        <w:top w:w="0" w:type="dxa"/>
        <w:right w:w="0" w:type="dxa"/>
        <w:bottom w:w="0" w:type="dxa"/>
      </w:tblCellMar>
    </w:tblPr>
  </w:style>
  <w:style w:type="table" w:styleId="826" w:customStyle="1">
    <w:name w:val="Grid Table 6 Colorful - Accent 4"/>
    <w:uiPriority w:val="99"/>
    <w:qFormat/>
    <w:tblPr>
      <w:tblCellMar>
        <w:left w:w="0" w:type="dxa"/>
        <w:top w:w="0" w:type="dxa"/>
        <w:right w:w="0" w:type="dxa"/>
        <w:bottom w:w="0" w:type="dxa"/>
      </w:tblCellMar>
    </w:tblPr>
  </w:style>
  <w:style w:type="table" w:styleId="827" w:customStyle="1">
    <w:name w:val="Grid Table 6 Colorful - Accent 5"/>
    <w:uiPriority w:val="99"/>
    <w:qFormat/>
    <w:tblPr>
      <w:tblCellMar>
        <w:left w:w="0" w:type="dxa"/>
        <w:top w:w="0" w:type="dxa"/>
        <w:right w:w="0" w:type="dxa"/>
        <w:bottom w:w="0" w:type="dxa"/>
      </w:tblCellMar>
    </w:tblPr>
  </w:style>
  <w:style w:type="table" w:styleId="828" w:customStyle="1">
    <w:name w:val="Grid Table 6 Colorful - Accent 6"/>
    <w:uiPriority w:val="99"/>
    <w:qFormat/>
    <w:tblPr>
      <w:tblCellMar>
        <w:left w:w="0" w:type="dxa"/>
        <w:top w:w="0" w:type="dxa"/>
        <w:right w:w="0" w:type="dxa"/>
        <w:bottom w:w="0" w:type="dxa"/>
      </w:tblCellMar>
    </w:tblPr>
  </w:style>
  <w:style w:type="table" w:styleId="829" w:customStyle="1">
    <w:name w:val="Grid Table 7 Colorful"/>
    <w:uiPriority w:val="99"/>
    <w:qFormat/>
    <w:tblPr>
      <w:tblCellMar>
        <w:left w:w="0" w:type="dxa"/>
        <w:top w:w="0" w:type="dxa"/>
        <w:right w:w="0" w:type="dxa"/>
        <w:bottom w:w="0" w:type="dxa"/>
      </w:tblCellMar>
    </w:tblPr>
  </w:style>
  <w:style w:type="table" w:styleId="830" w:customStyle="1">
    <w:name w:val="Grid Table 7 Colorful - Accent 1"/>
    <w:uiPriority w:val="99"/>
    <w:qFormat/>
    <w:tblPr>
      <w:tblCellMar>
        <w:left w:w="0" w:type="dxa"/>
        <w:top w:w="0" w:type="dxa"/>
        <w:right w:w="0" w:type="dxa"/>
        <w:bottom w:w="0" w:type="dxa"/>
      </w:tblCellMar>
    </w:tblPr>
  </w:style>
  <w:style w:type="table" w:styleId="831" w:customStyle="1">
    <w:name w:val="Grid Table 7 Colorful - Accent 2"/>
    <w:uiPriority w:val="99"/>
    <w:qFormat/>
    <w:tblPr>
      <w:tblCellMar>
        <w:left w:w="0" w:type="dxa"/>
        <w:top w:w="0" w:type="dxa"/>
        <w:right w:w="0" w:type="dxa"/>
        <w:bottom w:w="0" w:type="dxa"/>
      </w:tblCellMar>
    </w:tblPr>
  </w:style>
  <w:style w:type="table" w:styleId="832" w:customStyle="1">
    <w:name w:val="Grid Table 7 Colorful - Accent 3"/>
    <w:uiPriority w:val="99"/>
    <w:qFormat/>
    <w:tblPr>
      <w:tblCellMar>
        <w:left w:w="0" w:type="dxa"/>
        <w:top w:w="0" w:type="dxa"/>
        <w:right w:w="0" w:type="dxa"/>
        <w:bottom w:w="0" w:type="dxa"/>
      </w:tblCellMar>
    </w:tblPr>
  </w:style>
  <w:style w:type="table" w:styleId="833" w:customStyle="1">
    <w:name w:val="Grid Table 7 Colorful - Accent 4"/>
    <w:uiPriority w:val="99"/>
    <w:qFormat/>
    <w:tblPr>
      <w:tblCellMar>
        <w:left w:w="0" w:type="dxa"/>
        <w:top w:w="0" w:type="dxa"/>
        <w:right w:w="0" w:type="dxa"/>
        <w:bottom w:w="0" w:type="dxa"/>
      </w:tblCellMar>
    </w:tblPr>
  </w:style>
  <w:style w:type="table" w:styleId="834" w:customStyle="1">
    <w:name w:val="Grid Table 7 Colorful - Accent 5"/>
    <w:uiPriority w:val="99"/>
    <w:qFormat/>
    <w:tblPr>
      <w:tblCellMar>
        <w:left w:w="0" w:type="dxa"/>
        <w:top w:w="0" w:type="dxa"/>
        <w:right w:w="0" w:type="dxa"/>
        <w:bottom w:w="0" w:type="dxa"/>
      </w:tblCellMar>
    </w:tblPr>
  </w:style>
  <w:style w:type="table" w:styleId="835" w:customStyle="1">
    <w:name w:val="Grid Table 7 Colorful - Accent 6"/>
    <w:uiPriority w:val="99"/>
    <w:qFormat/>
    <w:tblPr>
      <w:tblCellMar>
        <w:left w:w="0" w:type="dxa"/>
        <w:top w:w="0" w:type="dxa"/>
        <w:right w:w="0" w:type="dxa"/>
        <w:bottom w:w="0" w:type="dxa"/>
      </w:tblCellMar>
    </w:tblPr>
  </w:style>
  <w:style w:type="table" w:styleId="836" w:customStyle="1">
    <w:name w:val="List Table 1 Light"/>
    <w:uiPriority w:val="99"/>
    <w:qFormat/>
    <w:tblPr>
      <w:tblCellMar>
        <w:left w:w="0" w:type="dxa"/>
        <w:top w:w="0" w:type="dxa"/>
        <w:right w:w="0" w:type="dxa"/>
        <w:bottom w:w="0" w:type="dxa"/>
      </w:tblCellMar>
    </w:tblPr>
  </w:style>
  <w:style w:type="table" w:styleId="837" w:customStyle="1">
    <w:name w:val="List Table 1 Light - Accent 1"/>
    <w:uiPriority w:val="99"/>
    <w:qFormat/>
    <w:tblPr>
      <w:tblCellMar>
        <w:left w:w="0" w:type="dxa"/>
        <w:top w:w="0" w:type="dxa"/>
        <w:right w:w="0" w:type="dxa"/>
        <w:bottom w:w="0" w:type="dxa"/>
      </w:tblCellMar>
    </w:tblPr>
  </w:style>
  <w:style w:type="table" w:styleId="838" w:customStyle="1">
    <w:name w:val="List Table 1 Light - Accent 2"/>
    <w:uiPriority w:val="99"/>
    <w:qFormat/>
    <w:tblPr>
      <w:tblCellMar>
        <w:left w:w="0" w:type="dxa"/>
        <w:top w:w="0" w:type="dxa"/>
        <w:right w:w="0" w:type="dxa"/>
        <w:bottom w:w="0" w:type="dxa"/>
      </w:tblCellMar>
    </w:tblPr>
  </w:style>
  <w:style w:type="table" w:styleId="839" w:customStyle="1">
    <w:name w:val="List Table 1 Light - Accent 3"/>
    <w:uiPriority w:val="99"/>
    <w:qFormat/>
    <w:tblPr>
      <w:tblCellMar>
        <w:left w:w="0" w:type="dxa"/>
        <w:top w:w="0" w:type="dxa"/>
        <w:right w:w="0" w:type="dxa"/>
        <w:bottom w:w="0" w:type="dxa"/>
      </w:tblCellMar>
    </w:tblPr>
  </w:style>
  <w:style w:type="table" w:styleId="840" w:customStyle="1">
    <w:name w:val="List Table 1 Light - Accent 4"/>
    <w:uiPriority w:val="99"/>
    <w:qFormat/>
    <w:tblPr>
      <w:tblCellMar>
        <w:left w:w="0" w:type="dxa"/>
        <w:top w:w="0" w:type="dxa"/>
        <w:right w:w="0" w:type="dxa"/>
        <w:bottom w:w="0" w:type="dxa"/>
      </w:tblCellMar>
    </w:tblPr>
  </w:style>
  <w:style w:type="table" w:styleId="841" w:customStyle="1">
    <w:name w:val="List Table 1 Light - Accent 5"/>
    <w:uiPriority w:val="99"/>
    <w:qFormat/>
    <w:tblPr>
      <w:tblCellMar>
        <w:left w:w="0" w:type="dxa"/>
        <w:top w:w="0" w:type="dxa"/>
        <w:right w:w="0" w:type="dxa"/>
        <w:bottom w:w="0" w:type="dxa"/>
      </w:tblCellMar>
    </w:tblPr>
  </w:style>
  <w:style w:type="table" w:styleId="842" w:customStyle="1">
    <w:name w:val="List Table 1 Light - Accent 6"/>
    <w:uiPriority w:val="99"/>
    <w:qFormat/>
    <w:tblPr>
      <w:tblCellMar>
        <w:left w:w="0" w:type="dxa"/>
        <w:top w:w="0" w:type="dxa"/>
        <w:right w:w="0" w:type="dxa"/>
        <w:bottom w:w="0" w:type="dxa"/>
      </w:tblCellMar>
    </w:tblPr>
  </w:style>
  <w:style w:type="table" w:styleId="843" w:customStyle="1">
    <w:name w:val="List Table 2"/>
    <w:uiPriority w:val="99"/>
    <w:qFormat/>
    <w:tblPr>
      <w:tblCellMar>
        <w:left w:w="0" w:type="dxa"/>
        <w:top w:w="0" w:type="dxa"/>
        <w:right w:w="0" w:type="dxa"/>
        <w:bottom w:w="0" w:type="dxa"/>
      </w:tblCellMar>
    </w:tblPr>
  </w:style>
  <w:style w:type="table" w:styleId="844" w:customStyle="1">
    <w:name w:val="List Table 2 - Accent 1"/>
    <w:uiPriority w:val="99"/>
    <w:qFormat/>
    <w:tblPr>
      <w:tblCellMar>
        <w:left w:w="0" w:type="dxa"/>
        <w:top w:w="0" w:type="dxa"/>
        <w:right w:w="0" w:type="dxa"/>
        <w:bottom w:w="0" w:type="dxa"/>
      </w:tblCellMar>
    </w:tblPr>
  </w:style>
  <w:style w:type="table" w:styleId="845" w:customStyle="1">
    <w:name w:val="List Table 2 - Accent 2"/>
    <w:uiPriority w:val="99"/>
    <w:qFormat/>
    <w:tblPr>
      <w:tblCellMar>
        <w:left w:w="0" w:type="dxa"/>
        <w:top w:w="0" w:type="dxa"/>
        <w:right w:w="0" w:type="dxa"/>
        <w:bottom w:w="0" w:type="dxa"/>
      </w:tblCellMar>
    </w:tblPr>
  </w:style>
  <w:style w:type="table" w:styleId="846" w:customStyle="1">
    <w:name w:val="List Table 2 - Accent 3"/>
    <w:uiPriority w:val="99"/>
    <w:qFormat/>
    <w:tblPr>
      <w:tblCellMar>
        <w:left w:w="0" w:type="dxa"/>
        <w:top w:w="0" w:type="dxa"/>
        <w:right w:w="0" w:type="dxa"/>
        <w:bottom w:w="0" w:type="dxa"/>
      </w:tblCellMar>
    </w:tblPr>
  </w:style>
  <w:style w:type="table" w:styleId="847" w:customStyle="1">
    <w:name w:val="List Table 2 - Accent 4"/>
    <w:uiPriority w:val="99"/>
    <w:qFormat/>
    <w:tblPr>
      <w:tblCellMar>
        <w:left w:w="0" w:type="dxa"/>
        <w:top w:w="0" w:type="dxa"/>
        <w:right w:w="0" w:type="dxa"/>
        <w:bottom w:w="0" w:type="dxa"/>
      </w:tblCellMar>
    </w:tblPr>
  </w:style>
  <w:style w:type="table" w:styleId="848" w:customStyle="1">
    <w:name w:val="List Table 2 - Accent 5"/>
    <w:uiPriority w:val="99"/>
    <w:qFormat/>
    <w:tblPr>
      <w:tblCellMar>
        <w:left w:w="0" w:type="dxa"/>
        <w:top w:w="0" w:type="dxa"/>
        <w:right w:w="0" w:type="dxa"/>
        <w:bottom w:w="0" w:type="dxa"/>
      </w:tblCellMar>
    </w:tblPr>
  </w:style>
  <w:style w:type="table" w:styleId="849" w:customStyle="1">
    <w:name w:val="List Table 2 - Accent 6"/>
    <w:uiPriority w:val="99"/>
    <w:qFormat/>
    <w:tblPr>
      <w:tblCellMar>
        <w:left w:w="0" w:type="dxa"/>
        <w:top w:w="0" w:type="dxa"/>
        <w:right w:w="0" w:type="dxa"/>
        <w:bottom w:w="0" w:type="dxa"/>
      </w:tblCellMar>
    </w:tblPr>
  </w:style>
  <w:style w:type="table" w:styleId="850" w:customStyle="1">
    <w:name w:val="List Table 3"/>
    <w:uiPriority w:val="99"/>
    <w:qFormat/>
    <w:tblPr>
      <w:tblCellMar>
        <w:left w:w="0" w:type="dxa"/>
        <w:top w:w="0" w:type="dxa"/>
        <w:right w:w="0" w:type="dxa"/>
        <w:bottom w:w="0" w:type="dxa"/>
      </w:tblCellMar>
    </w:tblPr>
  </w:style>
  <w:style w:type="table" w:styleId="851" w:customStyle="1">
    <w:name w:val="List Table 3 - Accent 1"/>
    <w:uiPriority w:val="99"/>
    <w:qFormat/>
    <w:tblPr>
      <w:tblCellMar>
        <w:left w:w="0" w:type="dxa"/>
        <w:top w:w="0" w:type="dxa"/>
        <w:right w:w="0" w:type="dxa"/>
        <w:bottom w:w="0" w:type="dxa"/>
      </w:tblCellMar>
    </w:tblPr>
  </w:style>
  <w:style w:type="table" w:styleId="852" w:customStyle="1">
    <w:name w:val="List Table 3 - Accent 2"/>
    <w:uiPriority w:val="99"/>
    <w:qFormat/>
    <w:tblPr>
      <w:tblCellMar>
        <w:left w:w="0" w:type="dxa"/>
        <w:top w:w="0" w:type="dxa"/>
        <w:right w:w="0" w:type="dxa"/>
        <w:bottom w:w="0" w:type="dxa"/>
      </w:tblCellMar>
    </w:tblPr>
  </w:style>
  <w:style w:type="table" w:styleId="853" w:customStyle="1">
    <w:name w:val="List Table 3 - Accent 3"/>
    <w:uiPriority w:val="99"/>
    <w:qFormat/>
    <w:tblPr>
      <w:tblCellMar>
        <w:left w:w="0" w:type="dxa"/>
        <w:top w:w="0" w:type="dxa"/>
        <w:right w:w="0" w:type="dxa"/>
        <w:bottom w:w="0" w:type="dxa"/>
      </w:tblCellMar>
    </w:tblPr>
  </w:style>
  <w:style w:type="table" w:styleId="854" w:customStyle="1">
    <w:name w:val="List Table 3 - Accent 4"/>
    <w:uiPriority w:val="99"/>
    <w:qFormat/>
    <w:tblPr>
      <w:tblCellMar>
        <w:left w:w="0" w:type="dxa"/>
        <w:top w:w="0" w:type="dxa"/>
        <w:right w:w="0" w:type="dxa"/>
        <w:bottom w:w="0" w:type="dxa"/>
      </w:tblCellMar>
    </w:tblPr>
  </w:style>
  <w:style w:type="table" w:styleId="855" w:customStyle="1">
    <w:name w:val="List Table 3 - Accent 5"/>
    <w:uiPriority w:val="99"/>
    <w:qFormat/>
    <w:tblPr>
      <w:tblCellMar>
        <w:left w:w="0" w:type="dxa"/>
        <w:top w:w="0" w:type="dxa"/>
        <w:right w:w="0" w:type="dxa"/>
        <w:bottom w:w="0" w:type="dxa"/>
      </w:tblCellMar>
    </w:tblPr>
  </w:style>
  <w:style w:type="table" w:styleId="856" w:customStyle="1">
    <w:name w:val="List Table 3 - Accent 6"/>
    <w:uiPriority w:val="99"/>
    <w:qFormat/>
    <w:tblPr>
      <w:tblCellMar>
        <w:left w:w="0" w:type="dxa"/>
        <w:top w:w="0" w:type="dxa"/>
        <w:right w:w="0" w:type="dxa"/>
        <w:bottom w:w="0" w:type="dxa"/>
      </w:tblCellMar>
    </w:tblPr>
  </w:style>
  <w:style w:type="table" w:styleId="857" w:customStyle="1">
    <w:name w:val="List Table 4"/>
    <w:uiPriority w:val="99"/>
    <w:qFormat/>
    <w:tblPr>
      <w:tblCellMar>
        <w:left w:w="0" w:type="dxa"/>
        <w:top w:w="0" w:type="dxa"/>
        <w:right w:w="0" w:type="dxa"/>
        <w:bottom w:w="0" w:type="dxa"/>
      </w:tblCellMar>
    </w:tblPr>
  </w:style>
  <w:style w:type="table" w:styleId="858" w:customStyle="1">
    <w:name w:val="List Table 4 - Accent 1"/>
    <w:uiPriority w:val="99"/>
    <w:qFormat/>
    <w:tblPr>
      <w:tblCellMar>
        <w:left w:w="0" w:type="dxa"/>
        <w:top w:w="0" w:type="dxa"/>
        <w:right w:w="0" w:type="dxa"/>
        <w:bottom w:w="0" w:type="dxa"/>
      </w:tblCellMar>
    </w:tblPr>
  </w:style>
  <w:style w:type="table" w:styleId="859" w:customStyle="1">
    <w:name w:val="List Table 4 - Accent 2"/>
    <w:uiPriority w:val="99"/>
    <w:qFormat/>
    <w:tblPr>
      <w:tblCellMar>
        <w:left w:w="0" w:type="dxa"/>
        <w:top w:w="0" w:type="dxa"/>
        <w:right w:w="0" w:type="dxa"/>
        <w:bottom w:w="0" w:type="dxa"/>
      </w:tblCellMar>
    </w:tblPr>
  </w:style>
  <w:style w:type="table" w:styleId="860" w:customStyle="1">
    <w:name w:val="List Table 4 - Accent 3"/>
    <w:uiPriority w:val="99"/>
    <w:qFormat/>
    <w:tblPr>
      <w:tblCellMar>
        <w:left w:w="0" w:type="dxa"/>
        <w:top w:w="0" w:type="dxa"/>
        <w:right w:w="0" w:type="dxa"/>
        <w:bottom w:w="0" w:type="dxa"/>
      </w:tblCellMar>
    </w:tblPr>
  </w:style>
  <w:style w:type="table" w:styleId="861" w:customStyle="1">
    <w:name w:val="List Table 4 - Accent 4"/>
    <w:uiPriority w:val="99"/>
    <w:qFormat/>
    <w:tblPr>
      <w:tblCellMar>
        <w:left w:w="0" w:type="dxa"/>
        <w:top w:w="0" w:type="dxa"/>
        <w:right w:w="0" w:type="dxa"/>
        <w:bottom w:w="0" w:type="dxa"/>
      </w:tblCellMar>
    </w:tblPr>
  </w:style>
  <w:style w:type="table" w:styleId="862" w:customStyle="1">
    <w:name w:val="List Table 4 - Accent 5"/>
    <w:uiPriority w:val="99"/>
    <w:qFormat/>
    <w:tblPr>
      <w:tblCellMar>
        <w:left w:w="0" w:type="dxa"/>
        <w:top w:w="0" w:type="dxa"/>
        <w:right w:w="0" w:type="dxa"/>
        <w:bottom w:w="0" w:type="dxa"/>
      </w:tblCellMar>
    </w:tblPr>
  </w:style>
  <w:style w:type="table" w:styleId="863" w:customStyle="1">
    <w:name w:val="List Table 4 - Accent 6"/>
    <w:uiPriority w:val="99"/>
    <w:qFormat/>
    <w:tblPr>
      <w:tblCellMar>
        <w:left w:w="0" w:type="dxa"/>
        <w:top w:w="0" w:type="dxa"/>
        <w:right w:w="0" w:type="dxa"/>
        <w:bottom w:w="0" w:type="dxa"/>
      </w:tblCellMar>
    </w:tblPr>
  </w:style>
  <w:style w:type="table" w:styleId="864" w:customStyle="1">
    <w:name w:val="List Table 5 Dark"/>
    <w:uiPriority w:val="99"/>
    <w:qFormat/>
    <w:tblPr>
      <w:tblCellMar>
        <w:left w:w="0" w:type="dxa"/>
        <w:top w:w="0" w:type="dxa"/>
        <w:right w:w="0" w:type="dxa"/>
        <w:bottom w:w="0" w:type="dxa"/>
      </w:tblCellMar>
    </w:tblPr>
  </w:style>
  <w:style w:type="table" w:styleId="865" w:customStyle="1">
    <w:name w:val="List Table 5 Dark - Accent 1"/>
    <w:uiPriority w:val="99"/>
    <w:qFormat/>
    <w:tblPr>
      <w:tblCellMar>
        <w:left w:w="0" w:type="dxa"/>
        <w:top w:w="0" w:type="dxa"/>
        <w:right w:w="0" w:type="dxa"/>
        <w:bottom w:w="0" w:type="dxa"/>
      </w:tblCellMar>
    </w:tblPr>
  </w:style>
  <w:style w:type="table" w:styleId="866" w:customStyle="1">
    <w:name w:val="List Table 5 Dark - Accent 2"/>
    <w:uiPriority w:val="99"/>
    <w:qFormat/>
    <w:tblPr>
      <w:tblCellMar>
        <w:left w:w="0" w:type="dxa"/>
        <w:top w:w="0" w:type="dxa"/>
        <w:right w:w="0" w:type="dxa"/>
        <w:bottom w:w="0" w:type="dxa"/>
      </w:tblCellMar>
    </w:tblPr>
  </w:style>
  <w:style w:type="table" w:styleId="867" w:customStyle="1">
    <w:name w:val="List Table 5 Dark - Accent 3"/>
    <w:uiPriority w:val="99"/>
    <w:qFormat/>
    <w:tblPr>
      <w:tblCellMar>
        <w:left w:w="0" w:type="dxa"/>
        <w:top w:w="0" w:type="dxa"/>
        <w:right w:w="0" w:type="dxa"/>
        <w:bottom w:w="0" w:type="dxa"/>
      </w:tblCellMar>
    </w:tblPr>
  </w:style>
  <w:style w:type="table" w:styleId="868" w:customStyle="1">
    <w:name w:val="List Table 5 Dark - Accent 4"/>
    <w:uiPriority w:val="99"/>
    <w:tblPr>
      <w:tblCellMar>
        <w:left w:w="0" w:type="dxa"/>
        <w:top w:w="0" w:type="dxa"/>
        <w:right w:w="0" w:type="dxa"/>
        <w:bottom w:w="0" w:type="dxa"/>
      </w:tblCellMar>
    </w:tblPr>
  </w:style>
  <w:style w:type="table" w:styleId="869" w:customStyle="1">
    <w:name w:val="List Table 5 Dark - Accent 5"/>
    <w:uiPriority w:val="99"/>
    <w:tblPr>
      <w:tblCellMar>
        <w:left w:w="0" w:type="dxa"/>
        <w:top w:w="0" w:type="dxa"/>
        <w:right w:w="0" w:type="dxa"/>
        <w:bottom w:w="0" w:type="dxa"/>
      </w:tblCellMar>
    </w:tblPr>
  </w:style>
  <w:style w:type="table" w:styleId="870" w:customStyle="1">
    <w:name w:val="List Table 5 Dark - Accent 6"/>
    <w:uiPriority w:val="99"/>
    <w:qFormat/>
    <w:tblPr>
      <w:tblCellMar>
        <w:left w:w="0" w:type="dxa"/>
        <w:top w:w="0" w:type="dxa"/>
        <w:right w:w="0" w:type="dxa"/>
        <w:bottom w:w="0" w:type="dxa"/>
      </w:tblCellMar>
    </w:tblPr>
  </w:style>
  <w:style w:type="table" w:styleId="871" w:customStyle="1">
    <w:name w:val="List Table 6 Colorful"/>
    <w:uiPriority w:val="99"/>
    <w:tblPr>
      <w:tblCellMar>
        <w:left w:w="0" w:type="dxa"/>
        <w:top w:w="0" w:type="dxa"/>
        <w:right w:w="0" w:type="dxa"/>
        <w:bottom w:w="0" w:type="dxa"/>
      </w:tblCellMar>
    </w:tblPr>
  </w:style>
  <w:style w:type="table" w:styleId="872" w:customStyle="1">
    <w:name w:val="List Table 6 Colorful - Accent 1"/>
    <w:uiPriority w:val="99"/>
    <w:qFormat/>
    <w:tblPr>
      <w:tblCellMar>
        <w:left w:w="0" w:type="dxa"/>
        <w:top w:w="0" w:type="dxa"/>
        <w:right w:w="0" w:type="dxa"/>
        <w:bottom w:w="0" w:type="dxa"/>
      </w:tblCellMar>
    </w:tblPr>
  </w:style>
  <w:style w:type="table" w:styleId="873" w:customStyle="1">
    <w:name w:val="List Table 6 Colorful - Accent 2"/>
    <w:uiPriority w:val="99"/>
    <w:tblPr>
      <w:tblCellMar>
        <w:left w:w="0" w:type="dxa"/>
        <w:top w:w="0" w:type="dxa"/>
        <w:right w:w="0" w:type="dxa"/>
        <w:bottom w:w="0" w:type="dxa"/>
      </w:tblCellMar>
    </w:tblPr>
  </w:style>
  <w:style w:type="table" w:styleId="874" w:customStyle="1">
    <w:name w:val="List Table 6 Colorful - Accent 3"/>
    <w:uiPriority w:val="99"/>
    <w:tblPr>
      <w:tblCellMar>
        <w:left w:w="0" w:type="dxa"/>
        <w:top w:w="0" w:type="dxa"/>
        <w:right w:w="0" w:type="dxa"/>
        <w:bottom w:w="0" w:type="dxa"/>
      </w:tblCellMar>
    </w:tblPr>
  </w:style>
  <w:style w:type="table" w:styleId="875" w:customStyle="1">
    <w:name w:val="List Table 6 Colorful - Accent 4"/>
    <w:uiPriority w:val="99"/>
    <w:qFormat/>
    <w:tblPr>
      <w:tblCellMar>
        <w:left w:w="0" w:type="dxa"/>
        <w:top w:w="0" w:type="dxa"/>
        <w:right w:w="0" w:type="dxa"/>
        <w:bottom w:w="0" w:type="dxa"/>
      </w:tblCellMar>
    </w:tblPr>
  </w:style>
  <w:style w:type="table" w:styleId="876" w:customStyle="1">
    <w:name w:val="List Table 6 Colorful - Accent 5"/>
    <w:uiPriority w:val="99"/>
    <w:qFormat/>
    <w:tblPr>
      <w:tblCellMar>
        <w:left w:w="0" w:type="dxa"/>
        <w:top w:w="0" w:type="dxa"/>
        <w:right w:w="0" w:type="dxa"/>
        <w:bottom w:w="0" w:type="dxa"/>
      </w:tblCellMar>
    </w:tblPr>
  </w:style>
  <w:style w:type="table" w:styleId="877" w:customStyle="1">
    <w:name w:val="List Table 6 Colorful - Accent 6"/>
    <w:uiPriority w:val="99"/>
    <w:tblPr>
      <w:tblCellMar>
        <w:left w:w="0" w:type="dxa"/>
        <w:top w:w="0" w:type="dxa"/>
        <w:right w:w="0" w:type="dxa"/>
        <w:bottom w:w="0" w:type="dxa"/>
      </w:tblCellMar>
    </w:tblPr>
  </w:style>
  <w:style w:type="table" w:styleId="878" w:customStyle="1">
    <w:name w:val="List Table 7 Colorful"/>
    <w:uiPriority w:val="99"/>
    <w:qFormat/>
    <w:tblPr>
      <w:tblCellMar>
        <w:left w:w="0" w:type="dxa"/>
        <w:top w:w="0" w:type="dxa"/>
        <w:right w:w="0" w:type="dxa"/>
        <w:bottom w:w="0" w:type="dxa"/>
      </w:tblCellMar>
    </w:tblPr>
  </w:style>
  <w:style w:type="table" w:styleId="879" w:customStyle="1">
    <w:name w:val="List Table 7 Colorful - Accent 1"/>
    <w:uiPriority w:val="99"/>
    <w:tblPr>
      <w:tblCellMar>
        <w:left w:w="0" w:type="dxa"/>
        <w:top w:w="0" w:type="dxa"/>
        <w:right w:w="0" w:type="dxa"/>
        <w:bottom w:w="0" w:type="dxa"/>
      </w:tblCellMar>
    </w:tblPr>
  </w:style>
  <w:style w:type="table" w:styleId="880" w:customStyle="1">
    <w:name w:val="List Table 7 Colorful - Accent 2"/>
    <w:uiPriority w:val="99"/>
    <w:tblPr>
      <w:tblCellMar>
        <w:left w:w="0" w:type="dxa"/>
        <w:top w:w="0" w:type="dxa"/>
        <w:right w:w="0" w:type="dxa"/>
        <w:bottom w:w="0" w:type="dxa"/>
      </w:tblCellMar>
    </w:tblPr>
  </w:style>
  <w:style w:type="table" w:styleId="881" w:customStyle="1">
    <w:name w:val="List Table 7 Colorful - Accent 3"/>
    <w:uiPriority w:val="99"/>
    <w:qFormat/>
    <w:tblPr>
      <w:tblCellMar>
        <w:left w:w="0" w:type="dxa"/>
        <w:top w:w="0" w:type="dxa"/>
        <w:right w:w="0" w:type="dxa"/>
        <w:bottom w:w="0" w:type="dxa"/>
      </w:tblCellMar>
    </w:tblPr>
  </w:style>
  <w:style w:type="table" w:styleId="882" w:customStyle="1">
    <w:name w:val="List Table 7 Colorful - Accent 4"/>
    <w:uiPriority w:val="99"/>
    <w:tblPr>
      <w:tblCellMar>
        <w:left w:w="0" w:type="dxa"/>
        <w:top w:w="0" w:type="dxa"/>
        <w:right w:w="0" w:type="dxa"/>
        <w:bottom w:w="0" w:type="dxa"/>
      </w:tblCellMar>
    </w:tblPr>
  </w:style>
  <w:style w:type="table" w:styleId="883" w:customStyle="1">
    <w:name w:val="List Table 7 Colorful - Accent 5"/>
    <w:uiPriority w:val="99"/>
    <w:tblPr>
      <w:tblCellMar>
        <w:left w:w="0" w:type="dxa"/>
        <w:top w:w="0" w:type="dxa"/>
        <w:right w:w="0" w:type="dxa"/>
        <w:bottom w:w="0" w:type="dxa"/>
      </w:tblCellMar>
    </w:tblPr>
  </w:style>
  <w:style w:type="table" w:styleId="884" w:customStyle="1">
    <w:name w:val="List Table 7 Colorful - Accent 6"/>
    <w:uiPriority w:val="99"/>
    <w:qFormat/>
    <w:tblPr>
      <w:tblCellMar>
        <w:left w:w="0" w:type="dxa"/>
        <w:top w:w="0" w:type="dxa"/>
        <w:right w:w="0" w:type="dxa"/>
        <w:bottom w:w="0" w:type="dxa"/>
      </w:tblCellMar>
    </w:tblPr>
  </w:style>
  <w:style w:type="table" w:styleId="885" w:customStyle="1">
    <w:name w:val="Lined - Accent"/>
    <w:uiPriority w:val="99"/>
    <w:rPr>
      <w:color w:val="404040"/>
    </w:rPr>
    <w:tblPr>
      <w:tblCellMar>
        <w:left w:w="0" w:type="dxa"/>
        <w:top w:w="0" w:type="dxa"/>
        <w:right w:w="0" w:type="dxa"/>
        <w:bottom w:w="0" w:type="dxa"/>
      </w:tblCellMar>
    </w:tblPr>
  </w:style>
  <w:style w:type="table" w:styleId="886" w:customStyle="1">
    <w:name w:val="Lined - Accent 1"/>
    <w:uiPriority w:val="99"/>
    <w:qFormat/>
    <w:rPr>
      <w:color w:val="404040"/>
    </w:rPr>
    <w:tblPr>
      <w:tblCellMar>
        <w:left w:w="0" w:type="dxa"/>
        <w:top w:w="0" w:type="dxa"/>
        <w:right w:w="0" w:type="dxa"/>
        <w:bottom w:w="0" w:type="dxa"/>
      </w:tblCellMar>
    </w:tblPr>
  </w:style>
  <w:style w:type="table" w:styleId="887" w:customStyle="1">
    <w:name w:val="Lined - Accent 2"/>
    <w:uiPriority w:val="99"/>
    <w:rPr>
      <w:color w:val="404040"/>
    </w:rPr>
    <w:tblPr>
      <w:tblCellMar>
        <w:left w:w="0" w:type="dxa"/>
        <w:top w:w="0" w:type="dxa"/>
        <w:right w:w="0" w:type="dxa"/>
        <w:bottom w:w="0" w:type="dxa"/>
      </w:tblCellMar>
    </w:tblPr>
  </w:style>
  <w:style w:type="table" w:styleId="888" w:customStyle="1">
    <w:name w:val="Lined - Accent 3"/>
    <w:uiPriority w:val="99"/>
    <w:qFormat/>
    <w:rPr>
      <w:color w:val="404040"/>
    </w:rPr>
    <w:tblPr>
      <w:tblCellMar>
        <w:left w:w="0" w:type="dxa"/>
        <w:top w:w="0" w:type="dxa"/>
        <w:right w:w="0" w:type="dxa"/>
        <w:bottom w:w="0" w:type="dxa"/>
      </w:tblCellMar>
    </w:tblPr>
  </w:style>
  <w:style w:type="table" w:styleId="889" w:customStyle="1">
    <w:name w:val="Lined - Accent 4"/>
    <w:uiPriority w:val="99"/>
    <w:qFormat/>
    <w:rPr>
      <w:color w:val="404040"/>
    </w:rPr>
    <w:tblPr>
      <w:tblCellMar>
        <w:left w:w="0" w:type="dxa"/>
        <w:top w:w="0" w:type="dxa"/>
        <w:right w:w="0" w:type="dxa"/>
        <w:bottom w:w="0" w:type="dxa"/>
      </w:tblCellMar>
    </w:tblPr>
  </w:style>
  <w:style w:type="table" w:styleId="890" w:customStyle="1">
    <w:name w:val="Lined - Accent 5"/>
    <w:uiPriority w:val="99"/>
    <w:qFormat/>
    <w:rPr>
      <w:color w:val="404040"/>
    </w:rPr>
    <w:tblPr>
      <w:tblCellMar>
        <w:left w:w="0" w:type="dxa"/>
        <w:top w:w="0" w:type="dxa"/>
        <w:right w:w="0" w:type="dxa"/>
        <w:bottom w:w="0" w:type="dxa"/>
      </w:tblCellMar>
    </w:tblPr>
  </w:style>
  <w:style w:type="table" w:styleId="891" w:customStyle="1">
    <w:name w:val="Lined - Accent 6"/>
    <w:uiPriority w:val="99"/>
    <w:rPr>
      <w:color w:val="404040"/>
    </w:rPr>
    <w:tblPr>
      <w:tblCellMar>
        <w:left w:w="0" w:type="dxa"/>
        <w:top w:w="0" w:type="dxa"/>
        <w:right w:w="0" w:type="dxa"/>
        <w:bottom w:w="0" w:type="dxa"/>
      </w:tblCellMar>
    </w:tblPr>
  </w:style>
  <w:style w:type="table" w:styleId="892" w:customStyle="1">
    <w:name w:val="Bordered &amp; Lined - Accent"/>
    <w:uiPriority w:val="99"/>
    <w:rPr>
      <w:color w:val="404040"/>
    </w:rPr>
    <w:tblPr>
      <w:tblCellMar>
        <w:left w:w="0" w:type="dxa"/>
        <w:top w:w="0" w:type="dxa"/>
        <w:right w:w="0" w:type="dxa"/>
        <w:bottom w:w="0" w:type="dxa"/>
      </w:tblCellMar>
    </w:tblPr>
  </w:style>
  <w:style w:type="table" w:styleId="893" w:customStyle="1">
    <w:name w:val="Bordered &amp; Lined - Accent 1"/>
    <w:uiPriority w:val="99"/>
    <w:rPr>
      <w:color w:val="404040"/>
    </w:rPr>
    <w:tblPr>
      <w:tblCellMar>
        <w:left w:w="0" w:type="dxa"/>
        <w:top w:w="0" w:type="dxa"/>
        <w:right w:w="0" w:type="dxa"/>
        <w:bottom w:w="0" w:type="dxa"/>
      </w:tblCellMar>
    </w:tblPr>
  </w:style>
  <w:style w:type="table" w:styleId="894" w:customStyle="1">
    <w:name w:val="Bordered &amp; Lined - Accent 2"/>
    <w:uiPriority w:val="99"/>
    <w:rPr>
      <w:color w:val="404040"/>
    </w:rPr>
    <w:tblPr>
      <w:tblCellMar>
        <w:left w:w="0" w:type="dxa"/>
        <w:top w:w="0" w:type="dxa"/>
        <w:right w:w="0" w:type="dxa"/>
        <w:bottom w:w="0" w:type="dxa"/>
      </w:tblCellMar>
    </w:tblPr>
  </w:style>
  <w:style w:type="table" w:styleId="895" w:customStyle="1">
    <w:name w:val="Bordered &amp; Lined - Accent 3"/>
    <w:uiPriority w:val="99"/>
    <w:rPr>
      <w:color w:val="404040"/>
    </w:rPr>
    <w:tblPr>
      <w:tblCellMar>
        <w:left w:w="0" w:type="dxa"/>
        <w:top w:w="0" w:type="dxa"/>
        <w:right w:w="0" w:type="dxa"/>
        <w:bottom w:w="0" w:type="dxa"/>
      </w:tblCellMar>
    </w:tblPr>
  </w:style>
  <w:style w:type="table" w:styleId="896" w:customStyle="1">
    <w:name w:val="Bordered &amp; Lined - Accent 4"/>
    <w:uiPriority w:val="99"/>
    <w:rPr>
      <w:color w:val="404040"/>
    </w:rPr>
    <w:tblPr>
      <w:tblCellMar>
        <w:left w:w="0" w:type="dxa"/>
        <w:top w:w="0" w:type="dxa"/>
        <w:right w:w="0" w:type="dxa"/>
        <w:bottom w:w="0" w:type="dxa"/>
      </w:tblCellMar>
    </w:tblPr>
  </w:style>
  <w:style w:type="table" w:styleId="897" w:customStyle="1">
    <w:name w:val="Bordered &amp; Lined - Accent 5"/>
    <w:uiPriority w:val="99"/>
    <w:qFormat/>
    <w:rPr>
      <w:color w:val="404040"/>
    </w:rPr>
    <w:tblPr>
      <w:tblCellMar>
        <w:left w:w="0" w:type="dxa"/>
        <w:top w:w="0" w:type="dxa"/>
        <w:right w:w="0" w:type="dxa"/>
        <w:bottom w:w="0" w:type="dxa"/>
      </w:tblCellMar>
    </w:tblPr>
  </w:style>
  <w:style w:type="table" w:styleId="898" w:customStyle="1">
    <w:name w:val="Bordered &amp; Lined - Accent 6"/>
    <w:uiPriority w:val="99"/>
    <w:rPr>
      <w:color w:val="404040"/>
    </w:rPr>
    <w:tblPr>
      <w:tblCellMar>
        <w:left w:w="0" w:type="dxa"/>
        <w:top w:w="0" w:type="dxa"/>
        <w:right w:w="0" w:type="dxa"/>
        <w:bottom w:w="0" w:type="dxa"/>
      </w:tblCellMar>
    </w:tblPr>
  </w:style>
  <w:style w:type="table" w:styleId="899" w:customStyle="1">
    <w:name w:val="Bordered"/>
    <w:uiPriority w:val="99"/>
    <w:tblPr>
      <w:tblCellMar>
        <w:left w:w="0" w:type="dxa"/>
        <w:top w:w="0" w:type="dxa"/>
        <w:right w:w="0" w:type="dxa"/>
        <w:bottom w:w="0" w:type="dxa"/>
      </w:tblCellMar>
    </w:tblPr>
  </w:style>
  <w:style w:type="table" w:styleId="900" w:customStyle="1">
    <w:name w:val="Bordered - Accent 1"/>
    <w:uiPriority w:val="99"/>
    <w:tblPr>
      <w:tblCellMar>
        <w:left w:w="0" w:type="dxa"/>
        <w:top w:w="0" w:type="dxa"/>
        <w:right w:w="0" w:type="dxa"/>
        <w:bottom w:w="0" w:type="dxa"/>
      </w:tblCellMar>
    </w:tblPr>
  </w:style>
  <w:style w:type="table" w:styleId="901" w:customStyle="1">
    <w:name w:val="Bordered - Accent 2"/>
    <w:uiPriority w:val="99"/>
    <w:tblPr>
      <w:tblCellMar>
        <w:left w:w="0" w:type="dxa"/>
        <w:top w:w="0" w:type="dxa"/>
        <w:right w:w="0" w:type="dxa"/>
        <w:bottom w:w="0" w:type="dxa"/>
      </w:tblCellMar>
    </w:tblPr>
  </w:style>
  <w:style w:type="table" w:styleId="902" w:customStyle="1">
    <w:name w:val="Bordered - Accent 3"/>
    <w:uiPriority w:val="99"/>
    <w:tblPr>
      <w:tblCellMar>
        <w:left w:w="0" w:type="dxa"/>
        <w:top w:w="0" w:type="dxa"/>
        <w:right w:w="0" w:type="dxa"/>
        <w:bottom w:w="0" w:type="dxa"/>
      </w:tblCellMar>
    </w:tblPr>
  </w:style>
  <w:style w:type="table" w:styleId="903" w:customStyle="1">
    <w:name w:val="Bordered - Accent 4"/>
    <w:uiPriority w:val="99"/>
    <w:qFormat/>
    <w:tblPr>
      <w:tblCellMar>
        <w:left w:w="0" w:type="dxa"/>
        <w:top w:w="0" w:type="dxa"/>
        <w:right w:w="0" w:type="dxa"/>
        <w:bottom w:w="0" w:type="dxa"/>
      </w:tblCellMar>
    </w:tblPr>
  </w:style>
  <w:style w:type="table" w:styleId="904" w:customStyle="1">
    <w:name w:val="Bordered - Accent 5"/>
    <w:uiPriority w:val="99"/>
    <w:tblPr>
      <w:tblCellMar>
        <w:left w:w="0" w:type="dxa"/>
        <w:top w:w="0" w:type="dxa"/>
        <w:right w:w="0" w:type="dxa"/>
        <w:bottom w:w="0" w:type="dxa"/>
      </w:tblCellMar>
    </w:tblPr>
  </w:style>
  <w:style w:type="table" w:styleId="905" w:customStyle="1">
    <w:name w:val="Bordered - Accent 6"/>
    <w:uiPriority w:val="99"/>
    <w:qFormat/>
    <w:tblPr>
      <w:tblCellMar>
        <w:left w:w="0" w:type="dxa"/>
        <w:top w:w="0" w:type="dxa"/>
        <w:right w:w="0" w:type="dxa"/>
        <w:bottom w:w="0" w:type="dxa"/>
      </w:tblCellMar>
    </w:tblPr>
  </w:style>
  <w:style w:type="paragraph" w:styleId="906" w:customStyle="1">
    <w:name w:val="TOC Heading"/>
    <w:uiPriority w:val="39"/>
    <w:unhideWhenUsed/>
    <w:rPr>
      <w:rFonts w:ascii="Times New Roman" w:hAnsi="Times New Roman" w:eastAsia="宋体" w:cs="Times New Roman"/>
      <w:lang w:val="en-US" w:eastAsia="zh-CN" w:bidi="ar-SA"/>
    </w:rPr>
  </w:style>
  <w:style w:type="paragraph" w:styleId="907" w:customStyle="1">
    <w:name w:val="标题 11"/>
    <w:basedOn w:val="688"/>
    <w:next w:val="688"/>
    <w:link w:val="908"/>
    <w:uiPriority w:val="0"/>
    <w:qFormat/>
    <w:pPr>
      <w:jc w:val="center"/>
      <w:keepNext/>
      <w:outlineLvl w:val="0"/>
    </w:pPr>
    <w:rPr>
      <w:rFonts w:ascii="楷体_GB2312" w:eastAsia="楷体_GB2312"/>
      <w:sz w:val="28"/>
      <w:szCs w:val="28"/>
    </w:rPr>
  </w:style>
  <w:style w:type="character" w:styleId="908" w:customStyle="1">
    <w:name w:val="标题 1 字符"/>
    <w:link w:val="907"/>
    <w:uiPriority w:val="0"/>
    <w:rPr>
      <w:rFonts w:ascii="楷体_GB2312" w:hAnsi="Times New Roman" w:eastAsia="楷体_GB2312" w:cs="Times New Roman"/>
      <w:sz w:val="28"/>
      <w:szCs w:val="28"/>
    </w:rPr>
  </w:style>
  <w:style w:type="paragraph" w:styleId="909" w:customStyle="1">
    <w:name w:val="标题 21"/>
    <w:basedOn w:val="688"/>
    <w:next w:val="910"/>
    <w:link w:val="911"/>
    <w:uiPriority w:val="0"/>
    <w:qFormat/>
    <w:pPr>
      <w:jc w:val="center"/>
      <w:keepLines/>
      <w:keepNext/>
      <w:spacing w:before="260" w:after="260" w:line="416" w:lineRule="auto"/>
      <w:outlineLvl w:val="1"/>
    </w:pPr>
    <w:rPr>
      <w:rFonts w:ascii="Arial" w:hAnsi="Arial" w:eastAsia="幼圆"/>
      <w:b/>
      <w:bCs/>
      <w:sz w:val="44"/>
      <w:szCs w:val="44"/>
    </w:rPr>
  </w:style>
  <w:style w:type="paragraph" w:styleId="910" w:customStyle="1">
    <w:name w:val="正文缩进1"/>
    <w:basedOn w:val="688"/>
    <w:link w:val="912"/>
    <w:uiPriority w:val="0"/>
    <w:pPr>
      <w:ind w:firstLine="420"/>
    </w:pPr>
    <w:rPr>
      <w:sz w:val="20"/>
      <w:szCs w:val="21"/>
    </w:rPr>
  </w:style>
  <w:style w:type="character" w:styleId="911" w:customStyle="1">
    <w:name w:val="标题 2 字符"/>
    <w:link w:val="909"/>
    <w:uiPriority w:val="0"/>
    <w:rPr>
      <w:rFonts w:ascii="Arial" w:hAnsi="Arial" w:eastAsia="幼圆" w:cs="Arial"/>
      <w:b/>
      <w:bCs/>
      <w:sz w:val="44"/>
      <w:szCs w:val="44"/>
    </w:rPr>
  </w:style>
  <w:style w:type="character" w:styleId="912" w:customStyle="1">
    <w:name w:val="正文缩进 字符"/>
    <w:link w:val="910"/>
    <w:uiPriority w:val="0"/>
    <w:qFormat/>
    <w:rPr>
      <w:szCs w:val="21"/>
    </w:rPr>
  </w:style>
  <w:style w:type="paragraph" w:styleId="913" w:customStyle="1">
    <w:name w:val="标题 31"/>
    <w:basedOn w:val="688"/>
    <w:next w:val="910"/>
    <w:link w:val="914"/>
    <w:uiPriority w:val="0"/>
    <w:qFormat/>
    <w:pPr>
      <w:keepLines/>
      <w:keepNext/>
      <w:spacing w:before="260" w:after="260" w:line="416" w:lineRule="auto"/>
      <w:outlineLvl w:val="2"/>
    </w:pPr>
    <w:rPr>
      <w:b/>
      <w:bCs/>
      <w:sz w:val="32"/>
      <w:szCs w:val="32"/>
    </w:rPr>
  </w:style>
  <w:style w:type="character" w:styleId="914" w:customStyle="1">
    <w:name w:val="标题 3 字符"/>
    <w:link w:val="913"/>
    <w:uiPriority w:val="0"/>
    <w:rPr>
      <w:rFonts w:ascii="Times New Roman" w:hAnsi="Times New Roman" w:eastAsia="宋体" w:cs="Times New Roman"/>
      <w:b/>
      <w:bCs/>
      <w:sz w:val="32"/>
      <w:szCs w:val="32"/>
    </w:rPr>
  </w:style>
  <w:style w:type="paragraph" w:styleId="915" w:customStyle="1">
    <w:name w:val="标题 41"/>
    <w:basedOn w:val="688"/>
    <w:next w:val="910"/>
    <w:link w:val="916"/>
    <w:uiPriority w:val="0"/>
    <w:qFormat/>
    <w:pPr>
      <w:keepLines/>
      <w:keepNext/>
      <w:spacing w:before="280" w:after="290" w:line="376" w:lineRule="auto"/>
      <w:outlineLvl w:val="3"/>
    </w:pPr>
    <w:rPr>
      <w:rFonts w:ascii="Arial" w:hAnsi="Arial" w:eastAsia="黑体"/>
      <w:b/>
      <w:bCs/>
      <w:sz w:val="28"/>
      <w:szCs w:val="28"/>
    </w:rPr>
  </w:style>
  <w:style w:type="character" w:styleId="916" w:customStyle="1">
    <w:name w:val="标题 4 字符"/>
    <w:link w:val="915"/>
    <w:uiPriority w:val="0"/>
    <w:rPr>
      <w:rFonts w:ascii="Arial" w:hAnsi="Arial" w:eastAsia="黑体" w:cs="Arial"/>
      <w:b/>
      <w:bCs/>
      <w:sz w:val="28"/>
      <w:szCs w:val="28"/>
    </w:rPr>
  </w:style>
  <w:style w:type="paragraph" w:styleId="917" w:customStyle="1">
    <w:name w:val="标题 51"/>
    <w:basedOn w:val="688"/>
    <w:next w:val="910"/>
    <w:link w:val="918"/>
    <w:uiPriority w:val="0"/>
    <w:qFormat/>
    <w:pPr>
      <w:keepNext/>
      <w:outlineLvl w:val="4"/>
    </w:pPr>
    <w:rPr>
      <w:rFonts w:ascii="宋体"/>
      <w:color w:val="000000"/>
      <w:sz w:val="28"/>
      <w:szCs w:val="28"/>
    </w:rPr>
  </w:style>
  <w:style w:type="character" w:styleId="918" w:customStyle="1">
    <w:name w:val="标题 5 字符"/>
    <w:link w:val="917"/>
    <w:uiPriority w:val="0"/>
    <w:rPr>
      <w:rFonts w:ascii="宋体" w:hAnsi="Times New Roman" w:eastAsia="宋体" w:cs="Times New Roman"/>
      <w:color w:val="000000"/>
      <w:sz w:val="28"/>
      <w:szCs w:val="28"/>
    </w:rPr>
  </w:style>
  <w:style w:type="paragraph" w:styleId="919" w:customStyle="1">
    <w:name w:val="标题 61"/>
    <w:basedOn w:val="688"/>
    <w:next w:val="688"/>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0" w:customStyle="1">
    <w:name w:val="标题 6 字符"/>
    <w:link w:val="919"/>
    <w:uiPriority w:val="0"/>
    <w:qFormat/>
    <w:rPr>
      <w:rFonts w:ascii="Arial" w:hAnsi="Arial" w:eastAsia="黑体" w:cs="Times New Roman"/>
      <w:b/>
      <w:bCs/>
      <w:sz w:val="24"/>
      <w:szCs w:val="24"/>
    </w:rPr>
  </w:style>
  <w:style w:type="paragraph" w:styleId="921" w:customStyle="1">
    <w:name w:val="标题 71"/>
    <w:basedOn w:val="688"/>
    <w:next w:val="688"/>
    <w:link w:val="922"/>
    <w:uiPriority w:val="0"/>
    <w:qFormat/>
    <w:pPr>
      <w:numPr>
        <w:ilvl w:val="6"/>
        <w:numId w:val="1"/>
      </w:numPr>
      <w:keepLines/>
      <w:keepNext/>
      <w:spacing w:before="240" w:after="64" w:line="320" w:lineRule="auto"/>
      <w:outlineLvl w:val="6"/>
    </w:pPr>
    <w:rPr>
      <w:b/>
      <w:bCs/>
      <w:sz w:val="24"/>
      <w:szCs w:val="24"/>
    </w:rPr>
  </w:style>
  <w:style w:type="character" w:styleId="922" w:customStyle="1">
    <w:name w:val="标题 7 字符"/>
    <w:link w:val="921"/>
    <w:uiPriority w:val="0"/>
    <w:rPr>
      <w:rFonts w:ascii="Times New Roman" w:hAnsi="Times New Roman" w:eastAsia="宋体" w:cs="Times New Roman"/>
      <w:b/>
      <w:bCs/>
      <w:sz w:val="24"/>
      <w:szCs w:val="24"/>
    </w:rPr>
  </w:style>
  <w:style w:type="paragraph" w:styleId="923" w:customStyle="1">
    <w:name w:val="标题 81"/>
    <w:basedOn w:val="688"/>
    <w:next w:val="688"/>
    <w:link w:val="92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4" w:customStyle="1">
    <w:name w:val="标题 8 字符"/>
    <w:link w:val="923"/>
    <w:uiPriority w:val="0"/>
    <w:qFormat/>
    <w:rPr>
      <w:rFonts w:ascii="Arial" w:hAnsi="Arial" w:eastAsia="黑体" w:cs="Times New Roman"/>
      <w:sz w:val="24"/>
      <w:szCs w:val="24"/>
    </w:rPr>
  </w:style>
  <w:style w:type="paragraph" w:styleId="925" w:customStyle="1">
    <w:name w:val="标题 91"/>
    <w:basedOn w:val="688"/>
    <w:next w:val="688"/>
    <w:link w:val="92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6" w:customStyle="1">
    <w:name w:val="标题 9 字符"/>
    <w:link w:val="925"/>
    <w:uiPriority w:val="0"/>
    <w:rPr>
      <w:rFonts w:ascii="Arial" w:hAnsi="Arial" w:eastAsia="黑体" w:cs="Times New Roman"/>
      <w:szCs w:val="21"/>
    </w:rPr>
  </w:style>
  <w:style w:type="character" w:styleId="927" w:customStyle="1">
    <w:name w:val="默认段落字体1"/>
    <w:uiPriority w:val="1"/>
    <w:unhideWhenUsed/>
  </w:style>
  <w:style w:type="table" w:styleId="928" w:customStyle="1">
    <w:name w:val="普通表格1"/>
    <w:uiPriority w:val="99"/>
    <w:unhideWhenUsed/>
    <w:qFormat/>
    <w:tblPr>
      <w:tblCellMar>
        <w:left w:w="0" w:type="dxa"/>
        <w:top w:w="0" w:type="dxa"/>
        <w:right w:w="0" w:type="dxa"/>
        <w:bottom w:w="0" w:type="dxa"/>
      </w:tblCellMar>
    </w:tblPr>
  </w:style>
  <w:style w:type="paragraph" w:styleId="929" w:customStyle="1">
    <w:name w:val="列表 31"/>
    <w:basedOn w:val="688"/>
    <w:uiPriority w:val="0"/>
    <w:qFormat/>
    <w:pPr>
      <w:ind w:left="100" w:hanging="200"/>
    </w:pPr>
    <w:rPr>
      <w:szCs w:val="21"/>
    </w:rPr>
  </w:style>
  <w:style w:type="paragraph" w:styleId="930" w:customStyle="1">
    <w:name w:val="文档结构图1"/>
    <w:basedOn w:val="688"/>
    <w:link w:val="931"/>
    <w:uiPriority w:val="0"/>
    <w:semiHidden/>
    <w:pPr>
      <w:shd w:val="clear" w:color="auto" w:fill="000080"/>
    </w:pPr>
    <w:rPr>
      <w:sz w:val="20"/>
      <w:szCs w:val="21"/>
    </w:rPr>
  </w:style>
  <w:style w:type="character" w:styleId="931" w:customStyle="1">
    <w:name w:val="文档结构图 字符"/>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688"/>
    <w:link w:val="933"/>
    <w:uiPriority w:val="0"/>
    <w:unhideWhenUsed/>
    <w:pPr>
      <w:jc w:val="left"/>
    </w:pPr>
  </w:style>
  <w:style w:type="character" w:styleId="933" w:customStyle="1">
    <w:name w:val="批注文字 字符"/>
    <w:link w:val="932"/>
    <w:uiPriority w:val="99"/>
    <w:semiHidden/>
    <w:qFormat/>
  </w:style>
  <w:style w:type="paragraph" w:styleId="934" w:customStyle="1">
    <w:name w:val="正文文本 31"/>
    <w:basedOn w:val="688"/>
    <w:link w:val="935"/>
    <w:uiPriority w:val="0"/>
    <w:qFormat/>
    <w:rPr>
      <w:rFonts w:ascii="仿宋_GB2312" w:hAnsi="Arial" w:eastAsia="仿宋_GB2312"/>
      <w:sz w:val="32"/>
      <w:szCs w:val="32"/>
    </w:rPr>
  </w:style>
  <w:style w:type="character" w:styleId="935" w:customStyle="1">
    <w:name w:val="正文文本 3 字符"/>
    <w:link w:val="934"/>
    <w:uiPriority w:val="0"/>
    <w:qFormat/>
    <w:rPr>
      <w:rFonts w:ascii="仿宋_GB2312" w:hAnsi="Arial" w:eastAsia="仿宋_GB2312" w:cs="Times New Roman"/>
      <w:sz w:val="32"/>
      <w:szCs w:val="32"/>
    </w:rPr>
  </w:style>
  <w:style w:type="paragraph" w:styleId="936" w:customStyle="1">
    <w:name w:val="正文文本缩进1"/>
    <w:basedOn w:val="688"/>
    <w:link w:val="937"/>
    <w:uiPriority w:val="0"/>
    <w:unhideWhenUsed/>
    <w:qFormat/>
    <w:pPr>
      <w:ind w:left="420"/>
      <w:spacing w:after="120"/>
    </w:pPr>
  </w:style>
  <w:style w:type="character" w:styleId="937" w:customStyle="1">
    <w:name w:val="正文文本缩进 字符"/>
    <w:link w:val="936"/>
    <w:uiPriority w:val="99"/>
    <w:semiHidden/>
    <w:qFormat/>
  </w:style>
  <w:style w:type="paragraph" w:styleId="938" w:customStyle="1">
    <w:name w:val="列表 21"/>
    <w:basedOn w:val="688"/>
    <w:uiPriority w:val="0"/>
    <w:qFormat/>
    <w:pPr>
      <w:ind w:left="100" w:hanging="200"/>
    </w:pPr>
    <w:rPr>
      <w:szCs w:val="21"/>
    </w:rPr>
  </w:style>
  <w:style w:type="paragraph" w:styleId="939" w:customStyle="1">
    <w:name w:val="纯文本1"/>
    <w:basedOn w:val="688"/>
    <w:link w:val="940"/>
    <w:uiPriority w:val="0"/>
    <w:qFormat/>
    <w:rPr>
      <w:rFonts w:ascii="宋体" w:hAnsi="Courier New"/>
      <w:sz w:val="20"/>
      <w:szCs w:val="21"/>
    </w:rPr>
  </w:style>
  <w:style w:type="character" w:styleId="940" w:customStyle="1">
    <w:name w:val="纯文本 字符"/>
    <w:link w:val="939"/>
    <w:uiPriority w:val="0"/>
    <w:qFormat/>
    <w:rPr>
      <w:rFonts w:ascii="宋体" w:hAnsi="Courier New" w:eastAsia="宋体" w:cs="Courier New"/>
      <w:szCs w:val="21"/>
    </w:rPr>
  </w:style>
  <w:style w:type="paragraph" w:styleId="941" w:customStyle="1">
    <w:name w:val="日期1"/>
    <w:basedOn w:val="688"/>
    <w:next w:val="688"/>
    <w:link w:val="942"/>
    <w:uiPriority w:val="0"/>
    <w:qFormat/>
    <w:rPr>
      <w:sz w:val="24"/>
      <w:szCs w:val="24"/>
    </w:rPr>
  </w:style>
  <w:style w:type="character" w:styleId="942" w:customStyle="1">
    <w:name w:val="日期 字符"/>
    <w:link w:val="941"/>
    <w:uiPriority w:val="0"/>
    <w:qFormat/>
    <w:rPr>
      <w:rFonts w:ascii="Times New Roman" w:hAnsi="Times New Roman" w:eastAsia="宋体" w:cs="Times New Roman"/>
      <w:sz w:val="24"/>
      <w:szCs w:val="24"/>
    </w:rPr>
  </w:style>
  <w:style w:type="paragraph" w:styleId="943" w:customStyle="1">
    <w:name w:val="正文文本缩进 21"/>
    <w:basedOn w:val="688"/>
    <w:link w:val="944"/>
    <w:uiPriority w:val="0"/>
    <w:qFormat/>
    <w:pPr>
      <w:ind w:left="630" w:firstLine="645"/>
    </w:pPr>
    <w:rPr>
      <w:rFonts w:ascii="Arial" w:hAnsi="Arial" w:eastAsia="仿宋_GB2312"/>
      <w:sz w:val="32"/>
      <w:szCs w:val="32"/>
    </w:rPr>
  </w:style>
  <w:style w:type="character" w:styleId="944" w:customStyle="1">
    <w:name w:val="正文文本缩进 2 字符"/>
    <w:link w:val="943"/>
    <w:uiPriority w:val="0"/>
    <w:qFormat/>
    <w:rPr>
      <w:rFonts w:ascii="Arial" w:hAnsi="Arial" w:eastAsia="仿宋_GB2312" w:cs="Arial"/>
      <w:sz w:val="32"/>
      <w:szCs w:val="32"/>
    </w:rPr>
  </w:style>
  <w:style w:type="paragraph" w:styleId="945" w:customStyle="1">
    <w:name w:val="批注框文本1"/>
    <w:basedOn w:val="688"/>
    <w:link w:val="946"/>
    <w:uiPriority w:val="0"/>
    <w:semiHidden/>
    <w:qFormat/>
    <w:rPr>
      <w:sz w:val="18"/>
      <w:szCs w:val="18"/>
    </w:rPr>
  </w:style>
  <w:style w:type="character" w:styleId="946" w:customStyle="1">
    <w:name w:val="批注框文本 字符"/>
    <w:link w:val="945"/>
    <w:uiPriority w:val="0"/>
    <w:semiHidden/>
    <w:qFormat/>
    <w:rPr>
      <w:rFonts w:ascii="Times New Roman" w:hAnsi="Times New Roman" w:eastAsia="宋体" w:cs="Times New Roman"/>
      <w:sz w:val="18"/>
      <w:szCs w:val="18"/>
    </w:rPr>
  </w:style>
  <w:style w:type="paragraph" w:styleId="947" w:customStyle="1">
    <w:name w:val="页脚1"/>
    <w:basedOn w:val="688"/>
    <w:link w:val="948"/>
    <w:uiPriority w:val="99"/>
    <w:qFormat/>
    <w:pPr>
      <w:jc w:val="left"/>
      <w:tabs>
        <w:tab w:val="center" w:pos="4153" w:leader="none"/>
        <w:tab w:val="right" w:pos="8306" w:leader="none"/>
      </w:tabs>
    </w:pPr>
    <w:rPr>
      <w:sz w:val="18"/>
      <w:szCs w:val="18"/>
    </w:rPr>
  </w:style>
  <w:style w:type="character" w:styleId="948" w:customStyle="1">
    <w:name w:val="页脚 字符"/>
    <w:link w:val="947"/>
    <w:uiPriority w:val="99"/>
    <w:qFormat/>
    <w:rPr>
      <w:rFonts w:ascii="Times New Roman" w:hAnsi="Times New Roman" w:eastAsia="宋体" w:cs="Times New Roman"/>
      <w:sz w:val="18"/>
      <w:szCs w:val="18"/>
    </w:rPr>
  </w:style>
  <w:style w:type="paragraph" w:styleId="949" w:customStyle="1">
    <w:name w:val="页眉1"/>
    <w:basedOn w:val="688"/>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字符"/>
    <w:link w:val="949"/>
    <w:uiPriority w:val="0"/>
    <w:qFormat/>
    <w:rPr>
      <w:rFonts w:ascii="Times New Roman" w:hAnsi="Times New Roman" w:eastAsia="宋体" w:cs="Times New Roman"/>
      <w:sz w:val="18"/>
      <w:szCs w:val="18"/>
    </w:rPr>
  </w:style>
  <w:style w:type="paragraph" w:styleId="951" w:customStyle="1">
    <w:name w:val="列表1"/>
    <w:basedOn w:val="688"/>
    <w:uiPriority w:val="0"/>
    <w:qFormat/>
    <w:pPr>
      <w:ind w:left="200" w:hanging="200"/>
    </w:pPr>
    <w:rPr>
      <w:szCs w:val="21"/>
    </w:rPr>
  </w:style>
  <w:style w:type="paragraph" w:styleId="952" w:customStyle="1">
    <w:name w:val="正文文本缩进 31"/>
    <w:basedOn w:val="688"/>
    <w:link w:val="953"/>
    <w:uiPriority w:val="0"/>
    <w:qFormat/>
    <w:pPr>
      <w:ind w:left="645" w:firstLine="645"/>
    </w:pPr>
    <w:rPr>
      <w:rFonts w:ascii="Arial" w:hAnsi="Arial" w:eastAsia="仿宋_GB2312"/>
      <w:color w:val="ffff00"/>
      <w:sz w:val="32"/>
      <w:szCs w:val="32"/>
    </w:rPr>
  </w:style>
  <w:style w:type="character" w:styleId="953" w:customStyle="1">
    <w:name w:val="正文文本缩进 3 字符"/>
    <w:link w:val="952"/>
    <w:uiPriority w:val="0"/>
    <w:qFormat/>
    <w:rPr>
      <w:rFonts w:ascii="Arial" w:hAnsi="Arial" w:eastAsia="仿宋_GB2312" w:cs="Arial"/>
      <w:color w:val="ffff00"/>
      <w:sz w:val="32"/>
      <w:szCs w:val="32"/>
    </w:rPr>
  </w:style>
  <w:style w:type="paragraph" w:styleId="954" w:customStyle="1">
    <w:name w:val="图表目录1"/>
    <w:basedOn w:val="688"/>
    <w:next w:val="688"/>
    <w:uiPriority w:val="0"/>
    <w:semiHidden/>
    <w:qFormat/>
    <w:pPr>
      <w:ind w:left="840" w:hanging="420"/>
    </w:pPr>
    <w:rPr>
      <w:szCs w:val="21"/>
    </w:rPr>
  </w:style>
  <w:style w:type="paragraph" w:styleId="955" w:customStyle="1">
    <w:name w:val="正文文本 21"/>
    <w:basedOn w:val="688"/>
    <w:link w:val="956"/>
    <w:uiPriority w:val="0"/>
    <w:qFormat/>
    <w:pPr>
      <w:jc w:val="center"/>
      <w:widowControl/>
    </w:pPr>
    <w:rPr>
      <w:rFonts w:ascii="楷体_GB2312" w:eastAsia="楷体_GB2312"/>
      <w:sz w:val="28"/>
      <w:szCs w:val="28"/>
    </w:rPr>
  </w:style>
  <w:style w:type="character" w:styleId="956" w:customStyle="1">
    <w:name w:val="正文文本 2 字符"/>
    <w:link w:val="955"/>
    <w:uiPriority w:val="0"/>
    <w:qFormat/>
    <w:rPr>
      <w:rFonts w:ascii="楷体_GB2312" w:hAnsi="Times New Roman" w:eastAsia="楷体_GB2312" w:cs="Times New Roman"/>
      <w:sz w:val="28"/>
      <w:szCs w:val="28"/>
    </w:rPr>
  </w:style>
  <w:style w:type="paragraph" w:styleId="957"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58" w:customStyle="1">
    <w:name w:val="索引 11"/>
    <w:basedOn w:val="688"/>
    <w:next w:val="688"/>
    <w:uiPriority w:val="0"/>
    <w:semiHidden/>
    <w:qFormat/>
    <w:pPr>
      <w:spacing w:line="240" w:lineRule="atLeast"/>
    </w:pPr>
    <w:rPr>
      <w:b/>
      <w:bCs/>
      <w:szCs w:val="21"/>
    </w:rPr>
  </w:style>
  <w:style w:type="paragraph" w:styleId="959" w:customStyle="1">
    <w:name w:val="批注主题1"/>
    <w:basedOn w:val="932"/>
    <w:next w:val="932"/>
    <w:link w:val="960"/>
    <w:uiPriority w:val="0"/>
    <w:semiHidden/>
    <w:qFormat/>
    <w:rPr>
      <w:b/>
      <w:bCs/>
      <w:sz w:val="20"/>
      <w:szCs w:val="21"/>
    </w:rPr>
  </w:style>
  <w:style w:type="character" w:styleId="960" w:customStyle="1">
    <w:name w:val="批注主题 字符"/>
    <w:link w:val="959"/>
    <w:uiPriority w:val="0"/>
    <w:semiHidden/>
    <w:qFormat/>
    <w:rPr>
      <w:rFonts w:ascii="Times New Roman" w:hAnsi="Times New Roman" w:eastAsia="宋体" w:cs="Times New Roman"/>
      <w:b/>
      <w:bCs/>
      <w:szCs w:val="21"/>
    </w:rPr>
  </w:style>
  <w:style w:type="paragraph" w:styleId="961" w:customStyle="1">
    <w:name w:val="正文文本首行缩进"/>
    <w:basedOn w:val="688"/>
    <w:link w:val="962"/>
    <w:uiPriority w:val="0"/>
    <w:qFormat/>
    <w:pPr>
      <w:ind w:firstLine="200"/>
      <w:spacing w:line="360" w:lineRule="auto"/>
    </w:pPr>
    <w:rPr>
      <w:rFonts w:ascii="仿宋_GB2312" w:eastAsia="仿宋_GB2312"/>
      <w:sz w:val="30"/>
      <w:szCs w:val="30"/>
    </w:rPr>
  </w:style>
  <w:style w:type="character" w:styleId="962" w:customStyle="1">
    <w:name w:val="正文文本首行缩进 字符"/>
    <w:link w:val="961"/>
    <w:uiPriority w:val="0"/>
    <w:qFormat/>
    <w:rPr>
      <w:rFonts w:ascii="仿宋_GB2312" w:hAnsi="Times New Roman" w:eastAsia="仿宋_GB2312" w:cs="Times New Roman"/>
      <w:sz w:val="30"/>
      <w:szCs w:val="30"/>
    </w:rPr>
  </w:style>
  <w:style w:type="paragraph" w:styleId="963" w:customStyle="1">
    <w:name w:val="正文文本首行缩进 2"/>
    <w:basedOn w:val="936"/>
    <w:link w:val="964"/>
    <w:uiPriority w:val="0"/>
    <w:qFormat/>
    <w:pPr>
      <w:ind w:left="0" w:firstLine="420"/>
      <w:spacing w:after="0" w:line="360" w:lineRule="auto"/>
    </w:pPr>
    <w:rPr>
      <w:rFonts w:ascii="宋体" w:hAnsi="宋体"/>
      <w:sz w:val="20"/>
      <w:szCs w:val="20"/>
    </w:rPr>
  </w:style>
  <w:style w:type="character" w:styleId="964" w:customStyle="1">
    <w:name w:val="正文文本首行缩进 2 字符"/>
    <w:link w:val="963"/>
    <w:uiPriority w:val="0"/>
    <w:qFormat/>
    <w:rPr>
      <w:rFonts w:ascii="宋体" w:hAnsi="宋体" w:eastAsia="宋体" w:cs="Times New Roman"/>
      <w:szCs w:val="20"/>
    </w:rPr>
  </w:style>
  <w:style w:type="table" w:styleId="965" w:customStyle="1">
    <w:name w:val="网格型1"/>
    <w:basedOn w:val="928"/>
    <w:uiPriority w:val="0"/>
    <w:qFormat/>
    <w:pPr>
      <w:jc w:val="both"/>
      <w:widowControl w:val="off"/>
    </w:pPr>
    <w:tblPr>
      <w:tblCellMar>
        <w:left w:w="0" w:type="dxa"/>
        <w:top w:w="0" w:type="dxa"/>
        <w:right w:w="0" w:type="dxa"/>
        <w:bottom w:w="0" w:type="dxa"/>
      </w:tblCellMar>
    </w:tblPr>
  </w:style>
  <w:style w:type="character" w:styleId="966" w:customStyle="1">
    <w:name w:val="要点1"/>
    <w:uiPriority w:val="0"/>
    <w:qFormat/>
    <w:rPr>
      <w:b/>
      <w:bCs/>
    </w:rPr>
  </w:style>
  <w:style w:type="character" w:styleId="967" w:customStyle="1">
    <w:name w:val="页码1"/>
    <w:uiPriority w:val="0"/>
    <w:qFormat/>
  </w:style>
  <w:style w:type="character" w:styleId="968" w:customStyle="1">
    <w:name w:val="访问过的超链接"/>
    <w:uiPriority w:val="0"/>
    <w:qFormat/>
    <w:rPr>
      <w:color w:val="333333"/>
      <w:u w:val="none"/>
    </w:rPr>
  </w:style>
  <w:style w:type="character" w:styleId="969" w:customStyle="1">
    <w:name w:val="超链接1"/>
    <w:uiPriority w:val="0"/>
    <w:qFormat/>
    <w:rPr>
      <w:color w:val="333333"/>
      <w:u w:val="none"/>
    </w:rPr>
  </w:style>
  <w:style w:type="character" w:styleId="970" w:customStyle="1">
    <w:name w:val="批注引用1"/>
    <w:uiPriority w:val="0"/>
    <w:semiHidden/>
    <w:qFormat/>
    <w:rPr>
      <w:sz w:val="21"/>
      <w:szCs w:val="21"/>
    </w:rPr>
  </w:style>
  <w:style w:type="character" w:styleId="971" w:customStyle="1">
    <w:name w:val="font5 Char"/>
    <w:uiPriority w:val="0"/>
    <w:qFormat/>
    <w:rPr>
      <w:rFonts w:ascii="宋体" w:hAnsi="宋体" w:eastAsia="宋体"/>
      <w:sz w:val="28"/>
      <w:szCs w:val="28"/>
      <w:lang w:val="en-US" w:eastAsia="zh-CN" w:bidi="ar-SA"/>
    </w:rPr>
  </w:style>
  <w:style w:type="character" w:styleId="972" w:customStyle="1">
    <w:name w:val="二级目录 Char"/>
    <w:link w:val="973"/>
    <w:uiPriority w:val="0"/>
    <w:qFormat/>
    <w:rPr>
      <w:b/>
      <w:sz w:val="30"/>
      <w:szCs w:val="28"/>
      <w:lang w:val="en-US" w:eastAsia="zh-CN" w:bidi="ar-SA"/>
    </w:rPr>
  </w:style>
  <w:style w:type="paragraph" w:styleId="973" w:customStyle="1">
    <w:name w:val="二级目录"/>
    <w:next w:val="688"/>
    <w:link w:val="97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688"/>
    <w:link w:val="974"/>
    <w:uiPriority w:val="0"/>
    <w:qFormat/>
    <w:pPr>
      <w:contextualSpacing/>
      <w:ind w:left="720"/>
      <w:jc w:val="left"/>
      <w:widowControl/>
    </w:pPr>
    <w:rPr>
      <w:sz w:val="24"/>
      <w:szCs w:val="24"/>
      <w:lang w:eastAsia="en-US" w:bidi="en-US"/>
    </w:rPr>
  </w:style>
  <w:style w:type="paragraph" w:styleId="976" w:customStyle="1">
    <w:name w:val="Body Text(ch)"/>
    <w:basedOn w:val="688"/>
    <w:next w:val="776"/>
    <w:uiPriority w:val="0"/>
    <w:qFormat/>
    <w:pPr>
      <w:spacing w:after="120"/>
    </w:pPr>
    <w:rPr>
      <w:rFonts w:ascii="宋体" w:hAnsi="Arial"/>
      <w:bCs/>
      <w:iCs/>
      <w:szCs w:val="24"/>
    </w:rPr>
  </w:style>
  <w:style w:type="paragraph" w:styleId="977"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w:basedOn w:val="688"/>
    <w:uiPriority w:val="0"/>
    <w:qFormat/>
    <w:pPr>
      <w:ind w:firstLine="200"/>
      <w:tabs>
        <w:tab w:val="left" w:pos="360" w:leader="none"/>
      </w:tabs>
    </w:pPr>
    <w:rPr>
      <w:sz w:val="28"/>
      <w:szCs w:val="30"/>
    </w:rPr>
  </w:style>
  <w:style w:type="paragraph" w:styleId="980" w:customStyle="1">
    <w:name w:val="Char1"/>
    <w:basedOn w:val="930"/>
    <w:uiPriority w:val="0"/>
    <w:qFormat/>
    <w:rPr>
      <w:rFonts w:ascii="Tahoma" w:hAnsi="Tahoma"/>
      <w:sz w:val="24"/>
      <w:szCs w:val="24"/>
    </w:rPr>
  </w:style>
  <w:style w:type="paragraph" w:styleId="981"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82" w:customStyle="1">
    <w:name w:val="table_lines"/>
    <w:basedOn w:val="688"/>
    <w:uiPriority w:val="0"/>
    <w:qFormat/>
    <w:pPr>
      <w:jc w:val="left"/>
      <w:widowControl/>
    </w:pPr>
    <w:rPr>
      <w:sz w:val="20"/>
      <w:szCs w:val="20"/>
      <w:lang w:val="de-DE" w:eastAsia="de-DE"/>
    </w:rPr>
  </w:style>
  <w:style w:type="paragraph" w:styleId="98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4"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85" w:customStyle="1">
    <w:name w:val="Char Char Char Char"/>
    <w:basedOn w:val="930"/>
    <w:uiPriority w:val="0"/>
    <w:qFormat/>
    <w:pPr>
      <w:spacing w:line="360" w:lineRule="auto"/>
    </w:pPr>
    <w:rPr>
      <w:rFonts w:ascii="Tahoma" w:hAnsi="Tahoma"/>
      <w:sz w:val="24"/>
      <w:szCs w:val="24"/>
    </w:rPr>
  </w:style>
  <w:style w:type="paragraph" w:styleId="986" w:customStyle="1">
    <w:name w:val="列表段落"/>
    <w:basedOn w:val="688"/>
    <w:uiPriority w:val="0"/>
    <w:qFormat/>
    <w:pPr>
      <w:contextualSpacing/>
      <w:ind w:left="720"/>
      <w:jc w:val="left"/>
      <w:widowControl/>
    </w:pPr>
    <w:rPr>
      <w:rFonts w:ascii="Calibri" w:hAnsi="Calibri"/>
      <w:sz w:val="24"/>
      <w:szCs w:val="24"/>
      <w:lang w:eastAsia="en-US" w:bidi="en-US"/>
    </w:rPr>
  </w:style>
  <w:style w:type="paragraph" w:styleId="987" w:customStyle="1">
    <w:name w:val="4"/>
    <w:basedOn w:val="688"/>
    <w:next w:val="952"/>
    <w:uiPriority w:val="0"/>
    <w:qFormat/>
    <w:pPr>
      <w:ind w:firstLine="420"/>
      <w:spacing w:line="360" w:lineRule="auto"/>
    </w:pPr>
    <w:rPr>
      <w:color w:val="ff0000"/>
      <w:sz w:val="24"/>
      <w:szCs w:val="24"/>
    </w:rPr>
  </w:style>
  <w:style w:type="paragraph" w:styleId="988"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688"/>
    <w:uiPriority w:val="0"/>
    <w:qFormat/>
    <w:pPr>
      <w:spacing w:line="360" w:lineRule="auto"/>
    </w:pPr>
    <w:rPr>
      <w:sz w:val="24"/>
      <w:szCs w:val="20"/>
    </w:rPr>
  </w:style>
  <w:style w:type="paragraph" w:styleId="990" w:customStyle="1">
    <w:name w:val="样式1"/>
    <w:basedOn w:val="688"/>
    <w:uiPriority w:val="0"/>
    <w:qFormat/>
    <w:pPr>
      <w:numPr>
        <w:ilvl w:val="0"/>
        <w:numId w:val="3"/>
      </w:numPr>
    </w:pPr>
    <w:rPr>
      <w:rFonts w:ascii="宋体" w:hAnsi="宋体"/>
      <w:szCs w:val="21"/>
    </w:rPr>
  </w:style>
  <w:style w:type="paragraph" w:styleId="991"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95"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930"/>
    <w:uiPriority w:val="0"/>
    <w:qFormat/>
    <w:pPr>
      <w:spacing w:line="360" w:lineRule="auto"/>
    </w:pPr>
    <w:rPr>
      <w:rFonts w:ascii="Tahoma" w:hAnsi="Tahoma"/>
      <w:sz w:val="24"/>
      <w:szCs w:val="24"/>
    </w:rPr>
  </w:style>
  <w:style w:type="paragraph" w:styleId="1002" w:customStyle="1">
    <w:name w:val="table_1stline"/>
    <w:basedOn w:val="688"/>
    <w:uiPriority w:val="0"/>
    <w:qFormat/>
    <w:pPr>
      <w:jc w:val="left"/>
      <w:spacing w:before="120"/>
      <w:widowControl/>
    </w:pPr>
    <w:rPr>
      <w:bCs/>
      <w:sz w:val="20"/>
      <w:szCs w:val="20"/>
      <w:lang w:val="de-DE" w:eastAsia="de-DE"/>
    </w:rPr>
  </w:style>
  <w:style w:type="paragraph" w:styleId="1003"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Revision"/>
    <w:uiPriority w:val="99"/>
    <w:semiHidden/>
    <w:qFormat/>
    <w:rPr>
      <w:rFonts w:ascii="Times New Roman" w:hAnsi="Times New Roman" w:eastAsia="宋体" w:cs="Times New Roman"/>
      <w:sz w:val="21"/>
      <w:szCs w:val="21"/>
      <w:lang w:val="en-US" w:eastAsia="zh-CN" w:bidi="ar-SA"/>
    </w:rPr>
  </w:style>
  <w:style w:type="character" w:styleId="1006" w:customStyle="1">
    <w:name w:val="批注框文本 Char"/>
    <w:basedOn w:val="698"/>
    <w:link w:val="707"/>
    <w:uiPriority w:val="99"/>
    <w:semiHidden/>
    <w:qFormat/>
    <w:rPr>
      <w:sz w:val="18"/>
      <w:szCs w:val="18"/>
    </w:rPr>
  </w:style>
  <w:style w:type="character" w:styleId="1007" w:customStyle="1">
    <w:name w:val="批注文字 Char"/>
    <w:basedOn w:val="698"/>
    <w:link w:val="702"/>
    <w:uiPriority w:val="99"/>
    <w:semiHidden/>
    <w:qFormat/>
    <w:rPr>
      <w:sz w:val="21"/>
      <w:szCs w:val="22"/>
    </w:rPr>
  </w:style>
  <w:style w:type="character" w:styleId="1008" w:customStyle="1">
    <w:name w:val="批注主题 Char"/>
    <w:basedOn w:val="1007"/>
    <w:link w:val="720"/>
    <w:uiPriority w:val="99"/>
    <w:semiHidden/>
    <w:qFormat/>
    <w:rPr>
      <w:b/>
      <w:bCs/>
    </w:rPr>
  </w:style>
  <w:style w:type="paragraph" w:styleId="1009" w:customStyle="1">
    <w:name w:val="Table Text"/>
    <w:basedOn w:val="688"/>
    <w:uiPriority w:val="0"/>
    <w:semiHidden/>
    <w:qFormat/>
    <w:pPr>
      <w:jc w:val="left"/>
      <w:widowControl/>
    </w:pPr>
    <w:rPr>
      <w:rFonts w:ascii="宋体" w:hAnsi="宋体" w:cs="宋体"/>
      <w:color w:val="000000"/>
      <w:sz w:val="24"/>
      <w:szCs w:val="24"/>
      <w:lang w:eastAsia="en-US"/>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沈露 </cp:lastModifiedBy>
  <cp:revision>346</cp:revision>
  <dcterms:created xsi:type="dcterms:W3CDTF">2024-05-10T06:40:00Z</dcterms:created>
  <dcterms:modified xsi:type="dcterms:W3CDTF">2026-05-27T06:11:07Z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eyJoZGlkIjoiMGJkN2YwYzgzZTIxNjEyYTExYWFlOGE0YTAxZmFhZTgiLCJ1c2VySWQiOiIxMTYxNjk5MjU3In0=</vt:lpwstr>
  </property>
  <property fmtid="{D5CDD505-2E9C-101B-9397-08002B2CF9AE}" pid="3" name="KSOProductBuildVer">
    <vt:lpwstr>2052-12.1.0.26375</vt:lpwstr>
  </property>
  <property fmtid="{D5CDD505-2E9C-101B-9397-08002B2CF9AE}" pid="4" name="ICV">
    <vt:lpwstr>AA9873E07B7148F5829BB32C36349785_12</vt:lpwstr>
  </property>
</Properties>
</file>